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CEE58B4">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66A5D880">
      <w:pPr>
        <w:keepNext/>
        <w:keepLines/>
        <w:spacing w:before="260" w:after="260" w:line="416" w:lineRule="atLeast"/>
        <w:jc w:val="center"/>
        <w:outlineLvl w:val="1"/>
        <w:rPr>
          <w:rFonts w:hint="eastAsia" w:ascii="Times New Roman" w:hAnsi="Times New Roman" w:eastAsia="宋体"/>
          <w:b/>
          <w:bCs/>
          <w:sz w:val="28"/>
          <w:szCs w:val="28"/>
          <w:lang w:eastAsia="zh-CN"/>
        </w:rPr>
      </w:pPr>
    </w:p>
    <w:p w14:paraId="5E2FE68B">
      <w:pPr>
        <w:keepNext/>
        <w:keepLines/>
        <w:spacing w:before="260" w:after="260" w:line="416" w:lineRule="atLeast"/>
        <w:jc w:val="center"/>
        <w:outlineLvl w:val="1"/>
        <w:rPr>
          <w:rFonts w:hint="eastAsia" w:ascii="Times New Roman" w:hAnsi="Times New Roman" w:eastAsia="宋体"/>
          <w:b/>
          <w:bCs/>
          <w:sz w:val="28"/>
          <w:szCs w:val="28"/>
          <w:lang w:eastAsia="zh-CN"/>
        </w:rPr>
      </w:pPr>
      <w:r>
        <w:rPr>
          <w:rFonts w:hint="eastAsia" w:ascii="Times New Roman" w:hAnsi="Times New Roman" w:eastAsia="宋体"/>
          <w:b/>
          <w:bCs/>
          <w:sz w:val="28"/>
          <w:szCs w:val="28"/>
          <w:lang w:eastAsia="zh-CN"/>
        </w:rPr>
        <w:drawing>
          <wp:inline distT="0" distB="0" distL="114300" distR="114300">
            <wp:extent cx="7068820" cy="661035"/>
            <wp:effectExtent l="0" t="0" r="0" b="0"/>
            <wp:docPr id="5" name="图片 5"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十四五国规标"/>
                    <pic:cNvPicPr>
                      <a:picLocks noChangeAspect="1"/>
                    </pic:cNvPicPr>
                  </pic:nvPicPr>
                  <pic:blipFill>
                    <a:blip r:embed="rId6"/>
                    <a:srcRect t="46761" b="46627"/>
                    <a:stretch>
                      <a:fillRect/>
                    </a:stretch>
                  </pic:blipFill>
                  <pic:spPr>
                    <a:xfrm>
                      <a:off x="0" y="0"/>
                      <a:ext cx="7068820" cy="661035"/>
                    </a:xfrm>
                    <a:prstGeom prst="rect">
                      <a:avLst/>
                    </a:prstGeom>
                  </pic:spPr>
                </pic:pic>
              </a:graphicData>
            </a:graphic>
          </wp:inline>
        </w:drawing>
      </w:r>
    </w:p>
    <w:p w14:paraId="21545871">
      <w:pPr>
        <w:keepNext/>
        <w:keepLines/>
        <w:spacing w:before="260" w:after="260" w:line="240" w:lineRule="auto"/>
        <w:jc w:val="both"/>
        <w:outlineLvl w:val="1"/>
        <w:rPr>
          <w:rFonts w:hint="eastAsia" w:ascii="Times New Roman" w:hAnsi="Times New Roman"/>
          <w:b/>
          <w:bCs/>
          <w:sz w:val="30"/>
          <w:szCs w:val="30"/>
          <w:lang w:val="en-US" w:eastAsia="zh-CN"/>
        </w:rPr>
      </w:pPr>
    </w:p>
    <w:p w14:paraId="26881B23">
      <w:pPr>
        <w:keepNext/>
        <w:keepLines/>
        <w:spacing w:before="260" w:after="260" w:line="240" w:lineRule="auto"/>
        <w:jc w:val="both"/>
        <w:outlineLvl w:val="1"/>
        <w:rPr>
          <w:rFonts w:hint="eastAsia" w:ascii="Times New Roman" w:hAnsi="Times New Roman"/>
          <w:b/>
          <w:bCs/>
          <w:sz w:val="30"/>
          <w:szCs w:val="30"/>
          <w:lang w:val="en-US" w:eastAsia="zh-CN"/>
        </w:rPr>
      </w:pPr>
    </w:p>
    <w:p w14:paraId="5E81C5F3">
      <w:pPr>
        <w:keepNext/>
        <w:keepLines/>
        <w:spacing w:before="260" w:after="260" w:line="240" w:lineRule="auto"/>
        <w:jc w:val="center"/>
        <w:outlineLvl w:val="1"/>
        <w:rPr>
          <w:rFonts w:hint="eastAsia" w:ascii="Times New Roman" w:hAnsi="Times New Roman"/>
          <w:b/>
          <w:bCs/>
          <w:sz w:val="52"/>
          <w:szCs w:val="52"/>
        </w:rPr>
      </w:pPr>
      <w:r>
        <w:rPr>
          <w:rFonts w:hint="eastAsia" w:ascii="汉仪菱心体简" w:hAnsi="汉仪菱心体简" w:eastAsia="汉仪菱心体简" w:cs="汉仪菱心体简"/>
          <w:i w:val="0"/>
          <w:caps w:val="0"/>
          <w:color w:val="6787B2"/>
          <w:spacing w:val="0"/>
          <w:sz w:val="84"/>
          <w:szCs w:val="84"/>
          <w:shd w:val="clear" w:fill="FFFFFF"/>
          <w:lang w:val="en-US" w:eastAsia="zh-CN"/>
        </w:rPr>
        <w:t>教案</w:t>
      </w:r>
    </w:p>
    <w:p w14:paraId="412EDB9B">
      <w:pPr>
        <w:keepNext/>
        <w:keepLines/>
        <w:spacing w:before="260" w:after="260" w:line="240" w:lineRule="auto"/>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卫生法律法规</w:t>
      </w:r>
    </w:p>
    <w:p w14:paraId="1DE0F138">
      <w:pPr>
        <w:keepNext/>
        <w:keepLines/>
        <w:spacing w:before="260" w:after="260" w:line="240" w:lineRule="auto"/>
        <w:jc w:val="center"/>
        <w:outlineLvl w:val="1"/>
        <w:rPr>
          <w:rFonts w:hint="default" w:ascii="Times New Roman" w:hAnsi="Times New Roman" w:eastAsia="宋体"/>
          <w:b/>
          <w:bCs/>
          <w:color w:val="2E75B6" w:themeColor="accent1" w:themeShade="BF"/>
          <w:sz w:val="52"/>
          <w:szCs w:val="52"/>
          <w:lang w:val="en-US" w:eastAsia="zh-CN"/>
        </w:rPr>
      </w:pPr>
      <w:r>
        <w:rPr>
          <w:rFonts w:hint="eastAsia" w:ascii="Times New Roman" w:hAnsi="Times New Roman"/>
          <w:b/>
          <w:bCs/>
          <w:color w:val="2E75B6" w:themeColor="accent1" w:themeShade="BF"/>
          <w:sz w:val="52"/>
          <w:szCs w:val="52"/>
          <w:lang w:eastAsia="zh-CN"/>
        </w:rPr>
        <w:t>（</w:t>
      </w:r>
      <w:r>
        <w:rPr>
          <w:rFonts w:hint="eastAsia" w:ascii="Times New Roman" w:hAnsi="Times New Roman"/>
          <w:b/>
          <w:bCs/>
          <w:color w:val="2E75B6" w:themeColor="accent1" w:themeShade="BF"/>
          <w:sz w:val="52"/>
          <w:szCs w:val="52"/>
          <w:lang w:val="en-US" w:eastAsia="zh-CN"/>
        </w:rPr>
        <w:t>第二版）</w:t>
      </w:r>
    </w:p>
    <w:p w14:paraId="7F875E9A">
      <w:pPr>
        <w:keepNext/>
        <w:keepLines/>
        <w:spacing w:before="260" w:after="260" w:line="240" w:lineRule="auto"/>
        <w:jc w:val="center"/>
        <w:outlineLvl w:val="1"/>
        <w:rPr>
          <w:rFonts w:hint="eastAsia" w:ascii="Times New Roman" w:hAnsi="Times New Roman"/>
          <w:b/>
          <w:bCs/>
          <w:sz w:val="28"/>
          <w:szCs w:val="28"/>
        </w:rPr>
      </w:pPr>
    </w:p>
    <w:p w14:paraId="25768923">
      <w:pPr>
        <w:keepNext/>
        <w:keepLines/>
        <w:spacing w:before="260" w:after="260" w:line="240" w:lineRule="auto"/>
        <w:jc w:val="center"/>
        <w:outlineLvl w:val="1"/>
        <w:rPr>
          <w:rFonts w:hint="eastAsia" w:ascii="Times New Roman" w:hAnsi="Times New Roman"/>
          <w:b/>
          <w:bCs/>
          <w:sz w:val="28"/>
          <w:szCs w:val="28"/>
        </w:rPr>
      </w:pPr>
    </w:p>
    <w:p w14:paraId="00F1166D">
      <w:pPr>
        <w:keepNext/>
        <w:keepLines/>
        <w:spacing w:before="260" w:after="260" w:line="240" w:lineRule="auto"/>
        <w:jc w:val="both"/>
        <w:outlineLvl w:val="1"/>
        <w:rPr>
          <w:rFonts w:hint="eastAsia" w:ascii="Times New Roman" w:hAnsi="Times New Roman"/>
          <w:b/>
          <w:bCs/>
          <w:sz w:val="28"/>
          <w:szCs w:val="28"/>
        </w:rPr>
      </w:pPr>
    </w:p>
    <w:p w14:paraId="3D194E08">
      <w:pPr>
        <w:keepNext/>
        <w:keepLines/>
        <w:spacing w:before="260" w:after="260" w:line="240" w:lineRule="auto"/>
        <w:jc w:val="both"/>
        <w:outlineLvl w:val="1"/>
        <w:rPr>
          <w:rFonts w:hint="eastAsia" w:ascii="Times New Roman" w:hAnsi="Times New Roman"/>
          <w:b/>
          <w:bCs/>
          <w:sz w:val="28"/>
          <w:szCs w:val="28"/>
        </w:rPr>
      </w:pPr>
    </w:p>
    <w:p w14:paraId="17BE5798">
      <w:pPr>
        <w:keepNext/>
        <w:keepLines/>
        <w:spacing w:before="260" w:after="260" w:line="240" w:lineRule="auto"/>
        <w:jc w:val="center"/>
        <w:outlineLvl w:val="1"/>
        <w:rPr>
          <w:rFonts w:hint="eastAsia" w:ascii="Times New Roman" w:hAnsi="Times New Roman"/>
          <w:b/>
          <w:bCs/>
          <w:sz w:val="28"/>
          <w:szCs w:val="28"/>
        </w:rPr>
      </w:pPr>
      <w:r>
        <w:rPr>
          <w:rFonts w:hint="eastAsia" w:ascii="Times New Roman" w:hAnsi="Times New Roman"/>
          <w:b/>
          <w:bCs/>
          <w:color w:val="8FAADC" w:themeColor="accent5" w:themeTint="99"/>
          <w:sz w:val="28"/>
          <w:szCs w:val="28"/>
          <w:lang w:val="en-US" w:eastAsia="zh-CN"/>
          <w14:textFill>
            <w14:solidFill>
              <w14:schemeClr w14:val="accent5">
                <w14:lumMod w14:val="60000"/>
                <w14:lumOff w14:val="40000"/>
              </w14:schemeClr>
            </w14:solidFill>
          </w14:textFill>
        </w:rPr>
        <w:t>北京出版社</w:t>
      </w:r>
    </w:p>
    <w:p w14:paraId="4CE1FFFF">
      <w:pPr>
        <w:keepNext/>
        <w:keepLines/>
        <w:spacing w:before="260" w:after="260" w:line="240" w:lineRule="auto"/>
        <w:jc w:val="both"/>
        <w:outlineLvl w:val="1"/>
        <w:rPr>
          <w:rFonts w:hint="eastAsia" w:ascii="Times New Roman" w:hAnsi="Times New Roman"/>
          <w:b/>
          <w:bCs/>
          <w:sz w:val="28"/>
          <w:szCs w:val="28"/>
        </w:rPr>
        <w:sectPr>
          <w:headerReference r:id="rId4" w:type="first"/>
          <w:headerReference r:id="rId3" w:type="default"/>
          <w:pgSz w:w="11906" w:h="16838"/>
          <w:pgMar w:top="0" w:right="170" w:bottom="0" w:left="170" w:header="567" w:footer="850" w:gutter="0"/>
          <w:pgBorders>
            <w:top w:val="none" w:sz="0" w:space="0"/>
            <w:left w:val="none" w:sz="0" w:space="0"/>
            <w:bottom w:val="none" w:sz="0" w:space="0"/>
            <w:right w:val="none" w:sz="0" w:space="0"/>
          </w:pgBorders>
          <w:cols w:space="425" w:num="1"/>
          <w:titlePg/>
          <w:docGrid w:type="lines" w:linePitch="312" w:charSpace="0"/>
        </w:sectPr>
      </w:pPr>
    </w:p>
    <w:p w14:paraId="45BEE8F2">
      <w:pPr>
        <w:pStyle w:val="3"/>
        <w:bidi w:val="0"/>
        <w:jc w:val="center"/>
        <w:rPr>
          <w:rFonts w:hint="eastAsia"/>
          <w:sz w:val="52"/>
          <w:szCs w:val="52"/>
          <w:lang w:eastAsia="zh-CN"/>
        </w:rPr>
      </w:pPr>
      <w:r>
        <w:rPr>
          <w:rFonts w:hint="eastAsia"/>
          <w:sz w:val="52"/>
          <w:szCs w:val="52"/>
          <w:lang w:eastAsia="zh-CN"/>
        </w:rPr>
        <w:t>课时分配表</w:t>
      </w:r>
    </w:p>
    <w:tbl>
      <w:tblPr>
        <w:tblStyle w:val="11"/>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Layout w:type="autofit"/>
        <w:tblCellMar>
          <w:top w:w="0" w:type="dxa"/>
          <w:left w:w="108" w:type="dxa"/>
          <w:bottom w:w="0" w:type="dxa"/>
          <w:right w:w="108" w:type="dxa"/>
        </w:tblCellMar>
      </w:tblPr>
      <w:tblGrid>
        <w:gridCol w:w="1176"/>
        <w:gridCol w:w="6200"/>
        <w:gridCol w:w="1350"/>
        <w:gridCol w:w="1479"/>
      </w:tblGrid>
      <w:tr w14:paraId="0EF63F5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00B0F0"/>
            <w:vAlign w:val="center"/>
          </w:tcPr>
          <w:p w14:paraId="53F00E3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章序</w:t>
            </w:r>
          </w:p>
        </w:tc>
        <w:tc>
          <w:tcPr>
            <w:tcW w:w="6200" w:type="dxa"/>
            <w:tcBorders>
              <w:tl2br w:val="nil"/>
              <w:tr2bl w:val="nil"/>
            </w:tcBorders>
            <w:shd w:val="clear" w:color="auto" w:fill="00B0F0"/>
            <w:vAlign w:val="center"/>
          </w:tcPr>
          <w:p w14:paraId="7C54C72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课程内容</w:t>
            </w:r>
          </w:p>
        </w:tc>
        <w:tc>
          <w:tcPr>
            <w:tcW w:w="1350" w:type="dxa"/>
            <w:tcBorders>
              <w:tl2br w:val="nil"/>
              <w:tr2bl w:val="nil"/>
            </w:tcBorders>
            <w:shd w:val="clear" w:color="auto" w:fill="00B0F0"/>
            <w:vAlign w:val="center"/>
          </w:tcPr>
          <w:p w14:paraId="653FAAD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课时</w:t>
            </w:r>
          </w:p>
        </w:tc>
        <w:tc>
          <w:tcPr>
            <w:tcW w:w="1479" w:type="dxa"/>
            <w:tcBorders>
              <w:tl2br w:val="nil"/>
              <w:tr2bl w:val="nil"/>
            </w:tcBorders>
            <w:shd w:val="clear" w:color="auto" w:fill="00B0F0"/>
            <w:vAlign w:val="center"/>
          </w:tcPr>
          <w:p w14:paraId="1D1A3C4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宋体" w:hAnsi="宋体" w:eastAsia="宋体" w:cs="宋体"/>
                <w:b/>
                <w:bCs/>
                <w:color w:val="FFFFFF"/>
                <w:sz w:val="28"/>
                <w:szCs w:val="28"/>
                <w:vertAlign w:val="baseline"/>
                <w:lang w:eastAsia="zh-CN"/>
              </w:rPr>
            </w:pPr>
            <w:r>
              <w:rPr>
                <w:rFonts w:hint="eastAsia" w:ascii="宋体" w:hAnsi="宋体" w:cs="宋体"/>
                <w:b/>
                <w:bCs/>
                <w:color w:val="FFFFFF"/>
                <w:sz w:val="28"/>
                <w:szCs w:val="28"/>
                <w:vertAlign w:val="baseline"/>
                <w:lang w:eastAsia="zh-CN"/>
              </w:rPr>
              <w:t>备注</w:t>
            </w:r>
          </w:p>
        </w:tc>
      </w:tr>
      <w:tr w14:paraId="77518A56">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B96727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w:t>
            </w:r>
          </w:p>
        </w:tc>
        <w:tc>
          <w:tcPr>
            <w:tcW w:w="6200" w:type="dxa"/>
            <w:tcBorders>
              <w:tl2br w:val="nil"/>
              <w:tr2bl w:val="nil"/>
            </w:tcBorders>
            <w:shd w:val="clear" w:color="auto" w:fill="FFFFFF"/>
            <w:vAlign w:val="center"/>
          </w:tcPr>
          <w:p w14:paraId="4BD276E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绪论</w:t>
            </w:r>
          </w:p>
        </w:tc>
        <w:tc>
          <w:tcPr>
            <w:tcW w:w="1350" w:type="dxa"/>
            <w:tcBorders>
              <w:tl2br w:val="nil"/>
              <w:tr2bl w:val="nil"/>
            </w:tcBorders>
            <w:shd w:val="clear" w:color="auto" w:fill="FFFFFF"/>
            <w:vAlign w:val="center"/>
          </w:tcPr>
          <w:p w14:paraId="1C9C72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BF6B03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0205050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01C90C6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2</w:t>
            </w:r>
          </w:p>
        </w:tc>
        <w:tc>
          <w:tcPr>
            <w:tcW w:w="6200" w:type="dxa"/>
            <w:tcBorders>
              <w:tl2br w:val="nil"/>
              <w:tr2bl w:val="nil"/>
            </w:tcBorders>
            <w:shd w:val="clear" w:color="auto" w:fill="FFFFFF"/>
            <w:vAlign w:val="center"/>
          </w:tcPr>
          <w:p w14:paraId="392E895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中国卫生法律法规</w:t>
            </w:r>
          </w:p>
        </w:tc>
        <w:tc>
          <w:tcPr>
            <w:tcW w:w="1350" w:type="dxa"/>
            <w:tcBorders>
              <w:tl2br w:val="nil"/>
              <w:tr2bl w:val="nil"/>
            </w:tcBorders>
            <w:shd w:val="clear" w:color="auto" w:fill="FFFFFF"/>
            <w:vAlign w:val="center"/>
          </w:tcPr>
          <w:p w14:paraId="7329CA5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DFD380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971766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16FB71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6200" w:type="dxa"/>
            <w:tcBorders>
              <w:tl2br w:val="nil"/>
              <w:tr2bl w:val="nil"/>
            </w:tcBorders>
            <w:shd w:val="clear" w:color="auto" w:fill="FFFFFF"/>
            <w:vAlign w:val="center"/>
          </w:tcPr>
          <w:p w14:paraId="1710C7E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医学社会组织法律法规</w:t>
            </w:r>
          </w:p>
        </w:tc>
        <w:tc>
          <w:tcPr>
            <w:tcW w:w="1350" w:type="dxa"/>
            <w:tcBorders>
              <w:tl2br w:val="nil"/>
              <w:tr2bl w:val="nil"/>
            </w:tcBorders>
            <w:shd w:val="clear" w:color="auto" w:fill="FFFFFF"/>
            <w:vAlign w:val="center"/>
          </w:tcPr>
          <w:p w14:paraId="1567D72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2D28450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3FD2763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1600B72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6200" w:type="dxa"/>
            <w:tcBorders>
              <w:tl2br w:val="nil"/>
              <w:tr2bl w:val="nil"/>
            </w:tcBorders>
            <w:shd w:val="clear" w:color="auto" w:fill="FFFFFF"/>
            <w:vAlign w:val="center"/>
          </w:tcPr>
          <w:p w14:paraId="6A3A5E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医疗机构管理法律法规</w:t>
            </w:r>
          </w:p>
        </w:tc>
        <w:tc>
          <w:tcPr>
            <w:tcW w:w="1350" w:type="dxa"/>
            <w:tcBorders>
              <w:tl2br w:val="nil"/>
              <w:tr2bl w:val="nil"/>
            </w:tcBorders>
            <w:shd w:val="clear" w:color="auto" w:fill="FFFFFF"/>
            <w:vAlign w:val="center"/>
          </w:tcPr>
          <w:p w14:paraId="26E3326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1479" w:type="dxa"/>
            <w:tcBorders>
              <w:tl2br w:val="nil"/>
              <w:tr2bl w:val="nil"/>
            </w:tcBorders>
            <w:shd w:val="clear" w:color="auto" w:fill="FFFFFF"/>
            <w:vAlign w:val="center"/>
          </w:tcPr>
          <w:p w14:paraId="3183EC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2C50AE9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0773F45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5</w:t>
            </w:r>
          </w:p>
        </w:tc>
        <w:tc>
          <w:tcPr>
            <w:tcW w:w="6200" w:type="dxa"/>
            <w:tcBorders>
              <w:tl2br w:val="nil"/>
              <w:tr2bl w:val="nil"/>
            </w:tcBorders>
            <w:shd w:val="clear" w:color="auto" w:fill="FFFFFF"/>
            <w:vAlign w:val="center"/>
          </w:tcPr>
          <w:p w14:paraId="1F07A56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护士管理法律制度</w:t>
            </w:r>
          </w:p>
        </w:tc>
        <w:tc>
          <w:tcPr>
            <w:tcW w:w="1350" w:type="dxa"/>
            <w:tcBorders>
              <w:tl2br w:val="nil"/>
              <w:tr2bl w:val="nil"/>
            </w:tcBorders>
            <w:shd w:val="clear" w:color="auto" w:fill="FFFFFF"/>
            <w:vAlign w:val="center"/>
          </w:tcPr>
          <w:p w14:paraId="0F32182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9DEE13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D83055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76196A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6</w:t>
            </w:r>
          </w:p>
        </w:tc>
        <w:tc>
          <w:tcPr>
            <w:tcW w:w="6200" w:type="dxa"/>
            <w:tcBorders>
              <w:tl2br w:val="nil"/>
              <w:tr2bl w:val="nil"/>
            </w:tcBorders>
            <w:shd w:val="clear" w:color="auto" w:fill="FFFFFF"/>
            <w:vAlign w:val="center"/>
          </w:tcPr>
          <w:p w14:paraId="7473D2C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护理法律关系</w:t>
            </w:r>
          </w:p>
        </w:tc>
        <w:tc>
          <w:tcPr>
            <w:tcW w:w="1350" w:type="dxa"/>
            <w:tcBorders>
              <w:tl2br w:val="nil"/>
              <w:tr2bl w:val="nil"/>
            </w:tcBorders>
            <w:shd w:val="clear" w:color="auto" w:fill="FFFFFF"/>
            <w:vAlign w:val="center"/>
          </w:tcPr>
          <w:p w14:paraId="1E48BCC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E466B3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549CCEF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536BA51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7</w:t>
            </w:r>
          </w:p>
        </w:tc>
        <w:tc>
          <w:tcPr>
            <w:tcW w:w="6200" w:type="dxa"/>
            <w:tcBorders>
              <w:tl2br w:val="nil"/>
              <w:tr2bl w:val="nil"/>
            </w:tcBorders>
            <w:shd w:val="clear" w:color="auto" w:fill="FFFFFF"/>
            <w:vAlign w:val="center"/>
          </w:tcPr>
          <w:p w14:paraId="03BD914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护理行为法律风险管理制度</w:t>
            </w:r>
          </w:p>
        </w:tc>
        <w:tc>
          <w:tcPr>
            <w:tcW w:w="1350" w:type="dxa"/>
            <w:tcBorders>
              <w:tl2br w:val="nil"/>
              <w:tr2bl w:val="nil"/>
            </w:tcBorders>
            <w:shd w:val="clear" w:color="auto" w:fill="FFFFFF"/>
            <w:vAlign w:val="center"/>
          </w:tcPr>
          <w:p w14:paraId="1C740C9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2</w:t>
            </w:r>
          </w:p>
        </w:tc>
        <w:tc>
          <w:tcPr>
            <w:tcW w:w="1479" w:type="dxa"/>
            <w:tcBorders>
              <w:tl2br w:val="nil"/>
              <w:tr2bl w:val="nil"/>
            </w:tcBorders>
            <w:shd w:val="clear" w:color="auto" w:fill="FFFFFF"/>
            <w:vAlign w:val="center"/>
          </w:tcPr>
          <w:p w14:paraId="50A7A8F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77A947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3070E99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8</w:t>
            </w:r>
          </w:p>
        </w:tc>
        <w:tc>
          <w:tcPr>
            <w:tcW w:w="6200" w:type="dxa"/>
            <w:tcBorders>
              <w:tl2br w:val="nil"/>
              <w:tr2bl w:val="nil"/>
            </w:tcBorders>
            <w:shd w:val="clear" w:color="auto" w:fill="FFFFFF"/>
            <w:vAlign w:val="center"/>
          </w:tcPr>
          <w:p w14:paraId="4768A2D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执业医师法律法规</w:t>
            </w:r>
          </w:p>
        </w:tc>
        <w:tc>
          <w:tcPr>
            <w:tcW w:w="1350" w:type="dxa"/>
            <w:tcBorders>
              <w:tl2br w:val="nil"/>
              <w:tr2bl w:val="nil"/>
            </w:tcBorders>
            <w:shd w:val="clear" w:color="auto" w:fill="FFFFFF"/>
            <w:vAlign w:val="center"/>
          </w:tcPr>
          <w:p w14:paraId="2D9C4BE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41108A1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30AA8CF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7FB1D46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9</w:t>
            </w:r>
          </w:p>
        </w:tc>
        <w:tc>
          <w:tcPr>
            <w:tcW w:w="6200" w:type="dxa"/>
            <w:tcBorders>
              <w:tl2br w:val="nil"/>
              <w:tr2bl w:val="nil"/>
            </w:tcBorders>
            <w:shd w:val="clear" w:color="auto" w:fill="FFFFFF"/>
            <w:vAlign w:val="center"/>
          </w:tcPr>
          <w:p w14:paraId="0844433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药品管理法律法规</w:t>
            </w:r>
          </w:p>
        </w:tc>
        <w:tc>
          <w:tcPr>
            <w:tcW w:w="1350" w:type="dxa"/>
            <w:tcBorders>
              <w:tl2br w:val="nil"/>
              <w:tr2bl w:val="nil"/>
            </w:tcBorders>
            <w:shd w:val="clear" w:color="auto" w:fill="FFFFFF"/>
            <w:vAlign w:val="center"/>
          </w:tcPr>
          <w:p w14:paraId="44B511E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1479" w:type="dxa"/>
            <w:tcBorders>
              <w:tl2br w:val="nil"/>
              <w:tr2bl w:val="nil"/>
            </w:tcBorders>
            <w:shd w:val="clear" w:color="auto" w:fill="FFFFFF"/>
            <w:vAlign w:val="center"/>
          </w:tcPr>
          <w:p w14:paraId="56B489B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5A6904A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PrEx>
        <w:trPr>
          <w:trHeight w:val="567" w:hRule="atLeast"/>
          <w:jc w:val="center"/>
        </w:trPr>
        <w:tc>
          <w:tcPr>
            <w:tcW w:w="1176" w:type="dxa"/>
            <w:tcBorders>
              <w:tl2br w:val="nil"/>
              <w:tr2bl w:val="nil"/>
            </w:tcBorders>
            <w:shd w:val="clear" w:color="auto" w:fill="FFFFFF"/>
            <w:vAlign w:val="center"/>
          </w:tcPr>
          <w:p w14:paraId="3C7C7BD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10</w:t>
            </w:r>
          </w:p>
        </w:tc>
        <w:tc>
          <w:tcPr>
            <w:tcW w:w="6200" w:type="dxa"/>
            <w:tcBorders>
              <w:tl2br w:val="nil"/>
              <w:tr2bl w:val="nil"/>
            </w:tcBorders>
            <w:shd w:val="clear" w:color="auto" w:fill="FFFFFF"/>
            <w:vAlign w:val="center"/>
          </w:tcPr>
          <w:p w14:paraId="20240B72">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突发公共卫生事件与灾害事故应急处理法律法规</w:t>
            </w:r>
          </w:p>
        </w:tc>
        <w:tc>
          <w:tcPr>
            <w:tcW w:w="1350" w:type="dxa"/>
            <w:tcBorders>
              <w:tl2br w:val="nil"/>
              <w:tr2bl w:val="nil"/>
            </w:tcBorders>
            <w:shd w:val="clear" w:color="auto" w:fill="FFFFFF"/>
            <w:vAlign w:val="center"/>
          </w:tcPr>
          <w:p w14:paraId="70AA88E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15E6242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7889FD4C">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7713539">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11</w:t>
            </w:r>
          </w:p>
        </w:tc>
        <w:tc>
          <w:tcPr>
            <w:tcW w:w="6200" w:type="dxa"/>
            <w:tcBorders>
              <w:tl2br w:val="nil"/>
              <w:tr2bl w:val="nil"/>
            </w:tcBorders>
            <w:shd w:val="clear" w:color="auto" w:fill="FFFFFF"/>
            <w:vAlign w:val="center"/>
          </w:tcPr>
          <w:p w14:paraId="09CBD0A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传染病防治法律法规</w:t>
            </w:r>
          </w:p>
        </w:tc>
        <w:tc>
          <w:tcPr>
            <w:tcW w:w="1350" w:type="dxa"/>
            <w:tcBorders>
              <w:tl2br w:val="nil"/>
              <w:tr2bl w:val="nil"/>
            </w:tcBorders>
            <w:shd w:val="clear" w:color="auto" w:fill="FFFFFF"/>
            <w:vAlign w:val="center"/>
          </w:tcPr>
          <w:p w14:paraId="6132E9E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24EFD32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4CF566D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56481E3D">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12</w:t>
            </w:r>
          </w:p>
        </w:tc>
        <w:tc>
          <w:tcPr>
            <w:tcW w:w="6200" w:type="dxa"/>
            <w:tcBorders>
              <w:tl2br w:val="nil"/>
              <w:tr2bl w:val="nil"/>
            </w:tcBorders>
            <w:shd w:val="clear" w:color="auto" w:fill="FFFFFF"/>
            <w:vAlign w:val="center"/>
          </w:tcPr>
          <w:p w14:paraId="31190D8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献血法律法规</w:t>
            </w:r>
          </w:p>
        </w:tc>
        <w:tc>
          <w:tcPr>
            <w:tcW w:w="1350" w:type="dxa"/>
            <w:tcBorders>
              <w:tl2br w:val="nil"/>
              <w:tr2bl w:val="nil"/>
            </w:tcBorders>
            <w:shd w:val="clear" w:color="auto" w:fill="FFFFFF"/>
            <w:vAlign w:val="center"/>
          </w:tcPr>
          <w:p w14:paraId="421B092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33D99F4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F97D16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63D230FF">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13</w:t>
            </w:r>
          </w:p>
        </w:tc>
        <w:tc>
          <w:tcPr>
            <w:tcW w:w="6200" w:type="dxa"/>
            <w:tcBorders>
              <w:tl2br w:val="nil"/>
              <w:tr2bl w:val="nil"/>
            </w:tcBorders>
            <w:shd w:val="clear" w:color="auto" w:fill="FFFFFF"/>
            <w:vAlign w:val="center"/>
          </w:tcPr>
          <w:p w14:paraId="7E66459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中医药法律法规</w:t>
            </w:r>
          </w:p>
        </w:tc>
        <w:tc>
          <w:tcPr>
            <w:tcW w:w="1350" w:type="dxa"/>
            <w:tcBorders>
              <w:tl2br w:val="nil"/>
              <w:tr2bl w:val="nil"/>
            </w:tcBorders>
            <w:shd w:val="clear" w:color="auto" w:fill="FFFFFF"/>
            <w:vAlign w:val="center"/>
          </w:tcPr>
          <w:p w14:paraId="7CA2AD4E">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w:t>
            </w:r>
          </w:p>
        </w:tc>
        <w:tc>
          <w:tcPr>
            <w:tcW w:w="1479" w:type="dxa"/>
            <w:tcBorders>
              <w:tl2br w:val="nil"/>
              <w:tr2bl w:val="nil"/>
            </w:tcBorders>
            <w:shd w:val="clear" w:color="auto" w:fill="FFFFFF"/>
            <w:vAlign w:val="center"/>
          </w:tcPr>
          <w:p w14:paraId="2D91F7C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76642B5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5A2ACEC5">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14</w:t>
            </w:r>
          </w:p>
        </w:tc>
        <w:tc>
          <w:tcPr>
            <w:tcW w:w="6200" w:type="dxa"/>
            <w:tcBorders>
              <w:tl2br w:val="nil"/>
              <w:tr2bl w:val="nil"/>
            </w:tcBorders>
            <w:shd w:val="clear" w:color="auto" w:fill="FFFFFF"/>
            <w:vAlign w:val="center"/>
          </w:tcPr>
          <w:p w14:paraId="799D3077">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t>母婴保健法律法规</w:t>
            </w:r>
          </w:p>
        </w:tc>
        <w:tc>
          <w:tcPr>
            <w:tcW w:w="1350" w:type="dxa"/>
            <w:tcBorders>
              <w:tl2br w:val="nil"/>
              <w:tr2bl w:val="nil"/>
            </w:tcBorders>
            <w:shd w:val="clear" w:color="auto" w:fill="FFFFFF"/>
            <w:vAlign w:val="center"/>
          </w:tcPr>
          <w:p w14:paraId="05F61C7C">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3</w:t>
            </w:r>
          </w:p>
        </w:tc>
        <w:tc>
          <w:tcPr>
            <w:tcW w:w="1479" w:type="dxa"/>
            <w:tcBorders>
              <w:tl2br w:val="nil"/>
              <w:tr2bl w:val="nil"/>
            </w:tcBorders>
            <w:shd w:val="clear" w:color="auto" w:fill="FFFFFF"/>
            <w:vAlign w:val="center"/>
          </w:tcPr>
          <w:p w14:paraId="21142D11">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r w14:paraId="67E369C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8" w:space="0"/>
            <w:insideV w:val="single" w:color="4472C4" w:themeColor="accent5" w:sz="8" w:space="0"/>
          </w:tblBorders>
          <w:tblCellMar>
            <w:top w:w="0" w:type="dxa"/>
            <w:left w:w="108" w:type="dxa"/>
            <w:bottom w:w="0" w:type="dxa"/>
            <w:right w:w="108" w:type="dxa"/>
          </w:tblCellMar>
        </w:tblPrEx>
        <w:trPr>
          <w:trHeight w:val="567" w:hRule="atLeast"/>
          <w:jc w:val="center"/>
        </w:trPr>
        <w:tc>
          <w:tcPr>
            <w:tcW w:w="1176" w:type="dxa"/>
            <w:tcBorders>
              <w:tl2br w:val="nil"/>
              <w:tr2bl w:val="nil"/>
            </w:tcBorders>
            <w:shd w:val="clear" w:color="auto" w:fill="FFFFFF"/>
            <w:vAlign w:val="center"/>
          </w:tcPr>
          <w:p w14:paraId="70BB42A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总计</w:t>
            </w:r>
          </w:p>
        </w:tc>
        <w:tc>
          <w:tcPr>
            <w:tcW w:w="6200" w:type="dxa"/>
            <w:tcBorders>
              <w:tl2br w:val="nil"/>
              <w:tr2bl w:val="nil"/>
            </w:tcBorders>
            <w:shd w:val="clear" w:color="auto" w:fill="FFFFFF"/>
            <w:vAlign w:val="center"/>
          </w:tcPr>
          <w:p w14:paraId="046971BB">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c>
          <w:tcPr>
            <w:tcW w:w="1350" w:type="dxa"/>
            <w:tcBorders>
              <w:tl2br w:val="nil"/>
              <w:tr2bl w:val="nil"/>
            </w:tcBorders>
            <w:shd w:val="clear" w:color="auto" w:fill="FFFFFF"/>
            <w:vAlign w:val="center"/>
          </w:tcPr>
          <w:p w14:paraId="1F5A36F4">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pPr>
            <w:r>
              <w:rPr>
                <w:rFonts w:hint="eastAsia" w:ascii="微软雅黑" w:hAnsi="微软雅黑" w:eastAsia="微软雅黑" w:cs="微软雅黑"/>
                <w:b w:val="0"/>
                <w:bCs w:val="0"/>
                <w:color w:val="000000" w:themeColor="text1"/>
                <w:sz w:val="28"/>
                <w:szCs w:val="28"/>
                <w:vertAlign w:val="baseline"/>
                <w:lang w:val="en-US" w:eastAsia="zh-CN"/>
                <w14:textFill>
                  <w14:solidFill>
                    <w14:schemeClr w14:val="tx1"/>
                  </w14:solidFill>
                </w14:textFill>
              </w:rPr>
              <w:t>44</w:t>
            </w:r>
          </w:p>
        </w:tc>
        <w:tc>
          <w:tcPr>
            <w:tcW w:w="1479" w:type="dxa"/>
            <w:tcBorders>
              <w:tl2br w:val="nil"/>
              <w:tr2bl w:val="nil"/>
            </w:tcBorders>
            <w:shd w:val="clear" w:color="auto" w:fill="FFFFFF"/>
            <w:vAlign w:val="center"/>
          </w:tcPr>
          <w:p w14:paraId="5F7F3D18">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微软雅黑" w:hAnsi="微软雅黑" w:eastAsia="微软雅黑" w:cs="微软雅黑"/>
                <w:b w:val="0"/>
                <w:bCs w:val="0"/>
                <w:color w:val="000000" w:themeColor="text1"/>
                <w:sz w:val="28"/>
                <w:szCs w:val="28"/>
                <w:vertAlign w:val="baseline"/>
                <w:lang w:eastAsia="zh-CN"/>
                <w14:textFill>
                  <w14:solidFill>
                    <w14:schemeClr w14:val="tx1"/>
                  </w14:solidFill>
                </w14:textFill>
              </w:rPr>
            </w:pPr>
          </w:p>
        </w:tc>
      </w:tr>
    </w:tbl>
    <w:p w14:paraId="22AA41B4">
      <w:pPr>
        <w:rPr>
          <w:rFonts w:hint="eastAsia" w:ascii="黑体" w:hAnsi="黑体" w:eastAsia="黑体" w:cs="黑体"/>
          <w:b/>
          <w:bCs/>
          <w:color w:val="000000" w:themeColor="text1"/>
          <w:sz w:val="44"/>
          <w:szCs w:val="44"/>
          <w:lang w:eastAsia="zh-CN"/>
          <w14:textFill>
            <w14:solidFill>
              <w14:schemeClr w14:val="tx1"/>
            </w14:solidFill>
          </w14:textFill>
        </w:rPr>
      </w:pPr>
    </w:p>
    <w:p w14:paraId="5F3F8945">
      <w:pPr>
        <w:rPr>
          <w:rFonts w:hint="eastAsia" w:ascii="微软简老宋" w:hAnsi="微软简老宋" w:eastAsia="微软简老宋" w:cs="微软简老宋"/>
          <w:b w:val="0"/>
          <w:bCs w:val="0"/>
          <w:color w:val="00B0F0"/>
          <w:sz w:val="32"/>
          <w:szCs w:val="32"/>
        </w:rPr>
      </w:pPr>
      <w:r>
        <w:rPr>
          <w:rFonts w:hint="eastAsia" w:ascii="微软简老宋" w:hAnsi="微软简老宋" w:eastAsia="微软简老宋" w:cs="微软简老宋"/>
          <w:b w:val="0"/>
          <w:bCs w:val="0"/>
          <w:color w:val="00B0F0"/>
          <w:sz w:val="32"/>
          <w:szCs w:val="32"/>
        </w:rPr>
        <w:br w:type="page"/>
      </w:r>
    </w:p>
    <w:p w14:paraId="7C01B318">
      <w:pPr>
        <w:pStyle w:val="3"/>
        <w:bidi w:val="0"/>
        <w:jc w:val="center"/>
        <w:rPr>
          <w:rFonts w:hint="eastAsia"/>
          <w:color w:val="6787B2"/>
          <w:lang w:eastAsia="zh-CN"/>
        </w:rPr>
      </w:pPr>
      <w:r>
        <w:rPr>
          <w:rFonts w:hint="eastAsia" w:ascii="Times New Roman" w:hAnsi="Times New Roman"/>
          <w:b/>
          <w:bCs/>
          <w:sz w:val="28"/>
          <w:szCs w:val="28"/>
        </w:rPr>
        <w:t>第</w:t>
      </w:r>
      <w:r>
        <w:rPr>
          <w:rFonts w:hint="eastAsia" w:ascii="Times New Roman" w:hAnsi="Times New Roman"/>
          <w:b/>
          <w:bCs/>
          <w:sz w:val="28"/>
          <w:szCs w:val="28"/>
          <w:lang w:val="en-US" w:eastAsia="zh-CN"/>
        </w:rPr>
        <w:t>4</w:t>
      </w:r>
      <w:r>
        <w:rPr>
          <w:rFonts w:hint="eastAsia" w:ascii="Times New Roman" w:hAnsi="Times New Roman"/>
          <w:b/>
          <w:bCs/>
          <w:sz w:val="28"/>
          <w:szCs w:val="28"/>
        </w:rPr>
        <w:t>课  医疗机构管理法律法规</w:t>
      </w:r>
    </w:p>
    <w:tbl>
      <w:tblPr>
        <w:tblStyle w:val="10"/>
        <w:tblW w:w="10205" w:type="dxa"/>
        <w:jc w:val="center"/>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Layout w:type="fixed"/>
        <w:tblCellMar>
          <w:top w:w="0" w:type="dxa"/>
          <w:left w:w="108" w:type="dxa"/>
          <w:bottom w:w="0" w:type="dxa"/>
          <w:right w:w="108" w:type="dxa"/>
        </w:tblCellMar>
      </w:tblPr>
      <w:tblGrid>
        <w:gridCol w:w="1541"/>
        <w:gridCol w:w="7014"/>
        <w:gridCol w:w="1650"/>
      </w:tblGrid>
      <w:tr w14:paraId="1C754614">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797509AB">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default" w:ascii="Times New Roman" w:hAnsi="Times New Roman"/>
                <w:b/>
                <w:szCs w:val="20"/>
              </w:rPr>
              <w:t xml:space="preserve">  </w:t>
            </w:r>
            <w:r>
              <w:rPr>
                <w:rFonts w:hint="eastAsia" w:ascii="Times New Roman" w:hAnsi="Times New Roman"/>
                <w:b/>
                <w:szCs w:val="20"/>
              </w:rPr>
              <w:t>题</w:t>
            </w:r>
          </w:p>
        </w:tc>
        <w:tc>
          <w:tcPr>
            <w:tcW w:w="7173" w:type="dxa"/>
            <w:gridSpan w:val="2"/>
            <w:tcBorders>
              <w:tl2br w:val="nil"/>
              <w:tr2bl w:val="nil"/>
            </w:tcBorders>
            <w:vAlign w:val="center"/>
          </w:tcPr>
          <w:p w14:paraId="64CF91F2">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医疗机构管理法律法规</w:t>
            </w:r>
          </w:p>
        </w:tc>
      </w:tr>
      <w:tr w14:paraId="6575FC9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62CF99DD">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课</w:t>
            </w:r>
            <w:r>
              <w:rPr>
                <w:rFonts w:hint="eastAsia" w:ascii="Times New Roman" w:hAnsi="宋体"/>
                <w:b/>
                <w:szCs w:val="20"/>
              </w:rPr>
              <w:t xml:space="preserve"> </w:t>
            </w:r>
            <w:r>
              <w:rPr>
                <w:rFonts w:hint="default" w:ascii="Times New Roman" w:hAnsi="宋体"/>
                <w:b/>
                <w:szCs w:val="20"/>
              </w:rPr>
              <w:t xml:space="preserve"> 时</w:t>
            </w:r>
          </w:p>
        </w:tc>
        <w:tc>
          <w:tcPr>
            <w:tcW w:w="7173" w:type="dxa"/>
            <w:gridSpan w:val="2"/>
            <w:tcBorders>
              <w:tl2br w:val="nil"/>
              <w:tr2bl w:val="nil"/>
            </w:tcBorders>
            <w:vAlign w:val="center"/>
          </w:tcPr>
          <w:p w14:paraId="6FB3B98A">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4</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180</w:t>
            </w:r>
            <w:r>
              <w:rPr>
                <w:rFonts w:hint="eastAsia" w:ascii="Times New Roman" w:hAnsi="宋体"/>
                <w:szCs w:val="20"/>
              </w:rPr>
              <w:t>min）。</w:t>
            </w:r>
          </w:p>
        </w:tc>
      </w:tr>
      <w:tr w14:paraId="3CA7CEC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00CC1B1C">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教学目标</w:t>
            </w:r>
          </w:p>
        </w:tc>
        <w:tc>
          <w:tcPr>
            <w:tcW w:w="7173" w:type="dxa"/>
            <w:gridSpan w:val="2"/>
            <w:tcBorders>
              <w:tl2br w:val="nil"/>
              <w:tr2bl w:val="nil"/>
            </w:tcBorders>
            <w:vAlign w:val="center"/>
          </w:tcPr>
          <w:p w14:paraId="2E5D4D99">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147C712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宋体"/>
                <w:bCs/>
                <w:szCs w:val="20"/>
              </w:rPr>
            </w:pPr>
            <w:r>
              <w:rPr>
                <w:rFonts w:hint="default" w:ascii="Times New Roman" w:hAnsi="宋体"/>
                <w:bCs/>
                <w:szCs w:val="20"/>
                <w:lang w:val="en-US" w:eastAsia="zh-CN"/>
              </w:rPr>
              <w:t xml:space="preserve">1. </w:t>
            </w:r>
            <w:r>
              <w:rPr>
                <w:rFonts w:hint="eastAsia" w:ascii="Times New Roman" w:hAnsi="宋体"/>
                <w:bCs/>
                <w:szCs w:val="20"/>
                <w:lang w:val="en-US" w:eastAsia="zh-CN"/>
              </w:rPr>
              <w:t xml:space="preserve">掌握医疗机构的概念、分类、性质和任务。 </w:t>
            </w:r>
          </w:p>
          <w:p w14:paraId="7892B1D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eastAsia" w:ascii="Times New Roman" w:hAnsi="宋体"/>
                <w:bCs/>
                <w:szCs w:val="20"/>
              </w:rPr>
            </w:pPr>
            <w:r>
              <w:rPr>
                <w:rFonts w:hint="default" w:ascii="Times New Roman" w:hAnsi="宋体"/>
                <w:bCs/>
                <w:szCs w:val="20"/>
                <w:lang w:val="en-US" w:eastAsia="zh-CN"/>
              </w:rPr>
              <w:t xml:space="preserve">2. 熟悉医疗机构管理的法律法规、工作制度和医疗机构的监督管理与评审制度，熟悉违反医疗机构管理条例的罚则。 </w:t>
            </w:r>
          </w:p>
          <w:p w14:paraId="1B936BC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textAlignment w:val="auto"/>
              <w:rPr>
                <w:rFonts w:hint="default" w:ascii="Times New Roman" w:hAnsi="宋体"/>
                <w:szCs w:val="20"/>
              </w:rPr>
            </w:pPr>
            <w:r>
              <w:rPr>
                <w:rFonts w:hint="default" w:ascii="Times New Roman" w:hAnsi="宋体"/>
                <w:bCs/>
                <w:szCs w:val="20"/>
                <w:lang w:val="en-US" w:eastAsia="zh-CN"/>
              </w:rPr>
              <w:t>3. 了解医疗机构技术人员职务规定，了解中外合资、合作医疗机构的管理。</w:t>
            </w:r>
          </w:p>
          <w:p w14:paraId="430A939A">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default" w:ascii="Times New Roman" w:hAnsi="Times New Roman"/>
                <w:b/>
                <w:szCs w:val="20"/>
              </w:rPr>
              <w:t>思政育人目标</w:t>
            </w:r>
            <w:r>
              <w:rPr>
                <w:rFonts w:hint="eastAsia" w:ascii="Times New Roman" w:hAnsi="Times New Roman"/>
                <w:b/>
                <w:szCs w:val="20"/>
              </w:rPr>
              <w:t>：</w:t>
            </w:r>
          </w:p>
          <w:p w14:paraId="48DCBF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Times New Roman" w:hAnsi="Times New Roman"/>
                <w:szCs w:val="20"/>
              </w:rPr>
            </w:pPr>
            <w:r>
              <w:rPr>
                <w:rFonts w:hint="default" w:ascii="Times New Roman" w:hAnsi="宋体"/>
                <w:bCs/>
                <w:szCs w:val="20"/>
                <w:lang w:val="en-US" w:eastAsia="zh-CN"/>
              </w:rPr>
              <w:t>具有依法、依规执业和配合、接受相关部门的监督管理和评审的基本素质。</w:t>
            </w:r>
            <w:bookmarkStart w:id="0" w:name="_GoBack"/>
            <w:bookmarkEnd w:id="0"/>
          </w:p>
        </w:tc>
      </w:tr>
      <w:tr w14:paraId="77763D00">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5849BA7B">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教学重</w:t>
            </w:r>
            <w:r>
              <w:rPr>
                <w:rFonts w:hint="eastAsia" w:ascii="Times New Roman" w:hAnsi="宋体"/>
                <w:b/>
                <w:szCs w:val="20"/>
              </w:rPr>
              <w:t>难</w:t>
            </w:r>
            <w:r>
              <w:rPr>
                <w:rFonts w:hint="default" w:ascii="Times New Roman" w:hAnsi="宋体"/>
                <w:b/>
                <w:szCs w:val="20"/>
              </w:rPr>
              <w:t>点</w:t>
            </w:r>
          </w:p>
        </w:tc>
        <w:tc>
          <w:tcPr>
            <w:tcW w:w="7173" w:type="dxa"/>
            <w:gridSpan w:val="2"/>
            <w:tcBorders>
              <w:tl2br w:val="nil"/>
              <w:tr2bl w:val="nil"/>
            </w:tcBorders>
            <w:vAlign w:val="center"/>
          </w:tcPr>
          <w:p w14:paraId="2DEADA08">
            <w:pPr>
              <w:keepNext w:val="0"/>
              <w:keepLines w:val="0"/>
              <w:suppressLineNumbers w:val="0"/>
              <w:spacing w:before="0" w:beforeAutospacing="0" w:after="0" w:afterAutospacing="0" w:line="360" w:lineRule="auto"/>
              <w:ind w:left="0" w:right="0" w:hanging="8"/>
              <w:rPr>
                <w:rFonts w:hint="eastAsia" w:ascii="Times New Roman" w:hAnsi="Times New Roman" w:eastAsia="宋体"/>
                <w:szCs w:val="20"/>
                <w:lang w:eastAsia="zh-CN"/>
              </w:rPr>
            </w:pPr>
            <w:r>
              <w:rPr>
                <w:rFonts w:hint="eastAsia" w:ascii="Times New Roman" w:hAnsi="Times New Roman"/>
                <w:b/>
                <w:szCs w:val="20"/>
              </w:rPr>
              <w:t>教学重点：</w:t>
            </w:r>
            <w:r>
              <w:rPr>
                <w:rFonts w:hint="eastAsia" w:ascii="宋体" w:hAnsi="宋体" w:cs="宋体"/>
                <w:kern w:val="0"/>
              </w:rPr>
              <w:t>医疗机构管理概述</w:t>
            </w:r>
          </w:p>
          <w:p w14:paraId="6316D79D">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b/>
                <w:szCs w:val="20"/>
              </w:rPr>
              <w:t>教学难点：</w:t>
            </w:r>
            <w:r>
              <w:rPr>
                <w:rFonts w:hint="eastAsia" w:ascii="宋体" w:hAnsi="宋体" w:cs="宋体"/>
                <w:kern w:val="0"/>
              </w:rPr>
              <w:t>医疗机构管理的法律规定</w:t>
            </w:r>
          </w:p>
        </w:tc>
      </w:tr>
      <w:tr w14:paraId="2FE3BC55">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245E3997">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教学方法</w:t>
            </w:r>
          </w:p>
        </w:tc>
        <w:tc>
          <w:tcPr>
            <w:tcW w:w="7173" w:type="dxa"/>
            <w:gridSpan w:val="2"/>
            <w:tcBorders>
              <w:tl2br w:val="nil"/>
              <w:tr2bl w:val="nil"/>
            </w:tcBorders>
            <w:vAlign w:val="center"/>
          </w:tcPr>
          <w:p w14:paraId="6A13C496">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60EB2CF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2F551641">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0"/>
              </w:rPr>
            </w:pPr>
            <w:r>
              <w:rPr>
                <w:rFonts w:hint="default" w:ascii="Times New Roman" w:hAnsi="宋体"/>
                <w:b/>
                <w:szCs w:val="20"/>
              </w:rPr>
              <w:t>教学用具</w:t>
            </w:r>
          </w:p>
        </w:tc>
        <w:tc>
          <w:tcPr>
            <w:tcW w:w="7173" w:type="dxa"/>
            <w:gridSpan w:val="2"/>
            <w:tcBorders>
              <w:tl2br w:val="nil"/>
              <w:tr2bl w:val="nil"/>
            </w:tcBorders>
            <w:vAlign w:val="center"/>
          </w:tcPr>
          <w:p w14:paraId="3DB2B9E9">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0B400FC3">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bottom w:val="double" w:color="4472C4" w:themeColor="accent5" w:sz="4" w:space="0"/>
              <w:tl2br w:val="nil"/>
              <w:tr2bl w:val="nil"/>
            </w:tcBorders>
            <w:shd w:val="clear" w:color="auto" w:fill="C8E6FF"/>
            <w:vAlign w:val="center"/>
          </w:tcPr>
          <w:p w14:paraId="4CD1964C">
            <w:pPr>
              <w:keepNext w:val="0"/>
              <w:keepLines w:val="0"/>
              <w:suppressLineNumbers w:val="0"/>
              <w:spacing w:before="0" w:beforeAutospacing="0" w:after="0" w:afterAutospacing="0" w:line="264" w:lineRule="auto"/>
              <w:ind w:left="0" w:right="0" w:hanging="8"/>
              <w:jc w:val="center"/>
              <w:rPr>
                <w:rFonts w:hint="default" w:ascii="Times New Roman" w:hAnsi="宋体"/>
                <w:b/>
                <w:szCs w:val="20"/>
              </w:rPr>
            </w:pPr>
            <w:r>
              <w:rPr>
                <w:rFonts w:hint="default" w:ascii="Times New Roman" w:hAnsi="宋体"/>
                <w:b/>
                <w:szCs w:val="20"/>
              </w:rPr>
              <w:t>教学设计</w:t>
            </w:r>
          </w:p>
        </w:tc>
        <w:tc>
          <w:tcPr>
            <w:tcW w:w="7173" w:type="dxa"/>
            <w:gridSpan w:val="2"/>
            <w:tcBorders>
              <w:bottom w:val="double" w:color="4472C4" w:themeColor="accent5" w:sz="4" w:space="0"/>
              <w:tl2br w:val="nil"/>
              <w:tr2bl w:val="nil"/>
            </w:tcBorders>
            <w:vAlign w:val="center"/>
          </w:tcPr>
          <w:p w14:paraId="5978A978">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1</w:t>
            </w:r>
            <w:r>
              <w:rPr>
                <w:rFonts w:hint="eastAsia" w:ascii="Times New Roman" w:hAnsi="宋体"/>
                <w:kern w:val="0"/>
                <w:szCs w:val="20"/>
              </w:rPr>
              <w:t>节课：</w:t>
            </w:r>
            <w:r>
              <w:rPr>
                <w:rFonts w:hint="eastAsia" w:ascii="Times New Roman" w:hAnsi="宋体"/>
                <w:szCs w:val="20"/>
                <w:lang w:eastAsia="zh-CN"/>
              </w:rPr>
              <w:t>考勤</w:t>
            </w:r>
            <w:r>
              <w:rPr>
                <w:rFonts w:hint="eastAsia" w:ascii="Times New Roman" w:hAnsi="宋体"/>
                <w:szCs w:val="20"/>
              </w:rPr>
              <w:t>（</w:t>
            </w:r>
            <w:r>
              <w:rPr>
                <w:rFonts w:hint="eastAsia" w:ascii="Times New Roman" w:hAnsi="宋体"/>
                <w:szCs w:val="20"/>
                <w:lang w:val="en-US" w:eastAsia="zh-CN"/>
              </w:rPr>
              <w:t>2</w:t>
            </w:r>
            <w:r>
              <w:rPr>
                <w:rFonts w:hint="eastAsia" w:ascii="Times New Roman" w:hAnsi="宋体"/>
                <w:szCs w:val="20"/>
              </w:rPr>
              <w:t>min）--</w:t>
            </w:r>
            <w:r>
              <w:rPr>
                <w:rFonts w:hint="eastAsia" w:ascii="Times New Roman" w:hAnsi="宋体"/>
                <w:szCs w:val="20"/>
                <w:lang w:eastAsia="zh-CN"/>
              </w:rPr>
              <w:t>知识讲解</w:t>
            </w:r>
            <w:r>
              <w:rPr>
                <w:rFonts w:hint="eastAsia" w:ascii="Times New Roman" w:hAnsi="宋体"/>
                <w:szCs w:val="20"/>
              </w:rPr>
              <w:t>（</w:t>
            </w:r>
            <w:r>
              <w:rPr>
                <w:rFonts w:hint="default" w:ascii="Times New Roman" w:hAnsi="宋体"/>
                <w:szCs w:val="20"/>
              </w:rPr>
              <w:t>40</w:t>
            </w:r>
            <w:r>
              <w:rPr>
                <w:rFonts w:hint="eastAsia" w:ascii="Times New Roman" w:hAnsi="宋体"/>
                <w:szCs w:val="20"/>
              </w:rPr>
              <w:t>min）</w:t>
            </w:r>
            <w:r>
              <w:rPr>
                <w:rFonts w:hint="eastAsia" w:ascii="Times New Roman" w:hAnsi="宋体"/>
                <w:szCs w:val="20"/>
                <w:lang w:val="en-US" w:eastAsia="zh-CN"/>
              </w:rPr>
              <w:t>--作业布置（3min）</w:t>
            </w:r>
          </w:p>
          <w:p w14:paraId="0299DF6C">
            <w:pPr>
              <w:keepNext w:val="0"/>
              <w:keepLines w:val="0"/>
              <w:suppressLineNumbers w:val="0"/>
              <w:spacing w:before="0" w:beforeAutospacing="0" w:after="0" w:afterAutospacing="0" w:line="360" w:lineRule="auto"/>
              <w:ind w:left="0" w:right="0" w:hanging="8"/>
              <w:rPr>
                <w:rFonts w:hint="default" w:ascii="Times New Roman" w:hAnsi="宋体" w:eastAsia="宋体"/>
                <w:szCs w:val="20"/>
                <w:lang w:val="en-US" w:eastAsia="zh-CN"/>
              </w:rPr>
            </w:pPr>
            <w:r>
              <w:rPr>
                <w:rFonts w:hint="eastAsia" w:ascii="Times New Roman" w:hAnsi="宋体"/>
                <w:kern w:val="0"/>
                <w:szCs w:val="20"/>
              </w:rPr>
              <w:t>第</w:t>
            </w:r>
            <w:r>
              <w:rPr>
                <w:rFonts w:hint="default" w:ascii="Times New Roman" w:hAnsi="宋体"/>
                <w:kern w:val="0"/>
                <w:szCs w:val="20"/>
              </w:rPr>
              <w:t>2</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val="en-US" w:eastAsia="zh-CN"/>
              </w:rPr>
              <w:t>--作业布置（2min）</w:t>
            </w:r>
          </w:p>
          <w:p w14:paraId="18BF3663">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kern w:val="0"/>
                <w:szCs w:val="20"/>
              </w:rPr>
              <w:t>第</w:t>
            </w:r>
            <w:r>
              <w:rPr>
                <w:rFonts w:hint="default" w:ascii="Times New Roman" w:hAnsi="宋体"/>
                <w:kern w:val="0"/>
                <w:szCs w:val="20"/>
              </w:rPr>
              <w:t>3</w:t>
            </w:r>
            <w:r>
              <w:rPr>
                <w:rFonts w:hint="eastAsia" w:ascii="Times New Roman" w:hAnsi="宋体"/>
                <w:kern w:val="0"/>
                <w:szCs w:val="20"/>
              </w:rPr>
              <w:t>节课：</w:t>
            </w:r>
            <w:r>
              <w:rPr>
                <w:rFonts w:hint="eastAsia" w:ascii="Times New Roman" w:hAnsi="宋体"/>
                <w:szCs w:val="20"/>
                <w:lang w:eastAsia="zh-CN"/>
              </w:rPr>
              <w:t>知识讲解</w:t>
            </w:r>
            <w:r>
              <w:rPr>
                <w:rFonts w:hint="eastAsia" w:ascii="Times New Roman" w:hAnsi="宋体"/>
                <w:szCs w:val="20"/>
              </w:rPr>
              <w:t>（40min）--</w:t>
            </w:r>
            <w:r>
              <w:rPr>
                <w:rFonts w:hint="eastAsia" w:ascii="Times New Roman" w:hAnsi="宋体"/>
                <w:szCs w:val="20"/>
                <w:lang w:eastAsia="zh-CN"/>
              </w:rPr>
              <w:t>课堂小结</w:t>
            </w:r>
            <w:r>
              <w:rPr>
                <w:rFonts w:hint="eastAsia" w:ascii="Times New Roman" w:hAnsi="宋体"/>
                <w:szCs w:val="20"/>
              </w:rPr>
              <w:t>（3min）--</w:t>
            </w:r>
            <w:r>
              <w:rPr>
                <w:rFonts w:hint="eastAsia" w:ascii="Times New Roman" w:hAnsi="宋体"/>
                <w:szCs w:val="20"/>
                <w:lang w:eastAsia="zh-CN"/>
              </w:rPr>
              <w:t>作业布置</w:t>
            </w:r>
            <w:r>
              <w:rPr>
                <w:rFonts w:hint="eastAsia" w:ascii="Times New Roman" w:hAnsi="宋体"/>
                <w:szCs w:val="20"/>
              </w:rPr>
              <w:t>（2min）</w:t>
            </w:r>
          </w:p>
          <w:p w14:paraId="68409E86">
            <w:pPr>
              <w:keepNext w:val="0"/>
              <w:keepLines w:val="0"/>
              <w:suppressLineNumbers w:val="0"/>
              <w:spacing w:before="0" w:beforeAutospacing="0" w:after="0" w:afterAutospacing="0" w:line="360" w:lineRule="auto"/>
              <w:ind w:left="0" w:right="0" w:hanging="8"/>
              <w:rPr>
                <w:rFonts w:hint="default" w:ascii="Times New Roman" w:hAnsi="宋体"/>
                <w:szCs w:val="20"/>
              </w:rPr>
            </w:pPr>
            <w:r>
              <w:rPr>
                <w:rFonts w:hint="default" w:ascii="Times New Roman" w:hAnsi="宋体"/>
                <w:szCs w:val="20"/>
              </w:rPr>
              <w:t>第</w:t>
            </w:r>
            <w:r>
              <w:rPr>
                <w:rFonts w:hint="eastAsia" w:ascii="Times New Roman" w:hAnsi="宋体"/>
                <w:szCs w:val="20"/>
                <w:lang w:val="en-US" w:eastAsia="zh-CN"/>
              </w:rPr>
              <w:t>4</w:t>
            </w:r>
            <w:r>
              <w:rPr>
                <w:rFonts w:hint="default" w:ascii="Times New Roman" w:hAnsi="宋体"/>
                <w:szCs w:val="20"/>
              </w:rPr>
              <w:t>节课：知识讲解（40min）--课堂小结（3min）--作业布置（2min）</w:t>
            </w:r>
          </w:p>
        </w:tc>
      </w:tr>
      <w:tr w14:paraId="10E9D7E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bottom w:val="double" w:color="4472C4" w:themeColor="accent5" w:sz="4" w:space="0"/>
            </w:tcBorders>
            <w:shd w:val="clear" w:color="auto" w:fill="C8E6FF"/>
            <w:vAlign w:val="center"/>
          </w:tcPr>
          <w:p w14:paraId="7627A458">
            <w:pPr>
              <w:keepNext w:val="0"/>
              <w:keepLines w:val="0"/>
              <w:suppressLineNumbers w:val="0"/>
              <w:spacing w:before="0" w:beforeAutospacing="0" w:after="0" w:afterAutospacing="0" w:line="360" w:lineRule="auto"/>
              <w:ind w:left="0" w:right="0" w:hanging="8"/>
              <w:jc w:val="center"/>
              <w:rPr>
                <w:rFonts w:hint="default" w:ascii="Times New Roman" w:hAnsi="Times New Roman"/>
                <w:b/>
                <w:bCs w:val="0"/>
                <w:color w:val="C00000"/>
                <w:szCs w:val="24"/>
              </w:rPr>
            </w:pPr>
            <w:r>
              <w:rPr>
                <w:rFonts w:hint="eastAsia" w:ascii="Times New Roman" w:hAnsi="Times New Roman"/>
                <w:b/>
                <w:bCs w:val="0"/>
                <w:color w:val="C00000"/>
                <w:szCs w:val="24"/>
              </w:rPr>
              <w:t>教学过程</w:t>
            </w:r>
          </w:p>
        </w:tc>
        <w:tc>
          <w:tcPr>
            <w:tcW w:w="5807" w:type="dxa"/>
            <w:tcBorders>
              <w:top w:val="double" w:color="4472C4" w:themeColor="accent5" w:sz="4" w:space="0"/>
              <w:bottom w:val="double" w:color="4472C4" w:themeColor="accent5" w:sz="4" w:space="0"/>
            </w:tcBorders>
            <w:shd w:val="clear" w:color="auto" w:fill="C8E6FF"/>
            <w:vAlign w:val="center"/>
          </w:tcPr>
          <w:p w14:paraId="255C79F1">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eastAsia" w:ascii="Times New Roman" w:hAnsi="Times New Roman"/>
                <w:b/>
                <w:bCs w:val="0"/>
                <w:color w:val="C00000"/>
                <w:szCs w:val="24"/>
              </w:rPr>
              <w:t>主 要 教 学 内 容 及 步 骤</w:t>
            </w:r>
          </w:p>
        </w:tc>
        <w:tc>
          <w:tcPr>
            <w:tcW w:w="1366" w:type="dxa"/>
            <w:tcBorders>
              <w:top w:val="double" w:color="4472C4" w:themeColor="accent5" w:sz="4" w:space="0"/>
              <w:bottom w:val="double" w:color="4472C4" w:themeColor="accent5" w:sz="4" w:space="0"/>
            </w:tcBorders>
            <w:shd w:val="clear" w:color="auto" w:fill="C8E6FF"/>
            <w:vAlign w:val="center"/>
          </w:tcPr>
          <w:p w14:paraId="226EF109">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C00000"/>
                <w:szCs w:val="20"/>
              </w:rPr>
            </w:pPr>
            <w:r>
              <w:rPr>
                <w:rFonts w:hint="default" w:ascii="Times New Roman" w:hAnsi="Times New Roman"/>
                <w:b/>
                <w:bCs w:val="0"/>
                <w:color w:val="C00000"/>
                <w:szCs w:val="20"/>
              </w:rPr>
              <w:t>设计意图</w:t>
            </w:r>
          </w:p>
        </w:tc>
      </w:tr>
      <w:tr w14:paraId="7E8D4BC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op w:val="double" w:color="4472C4" w:themeColor="accent5" w:sz="4" w:space="0"/>
              <w:tl2br w:val="nil"/>
              <w:tr2bl w:val="nil"/>
            </w:tcBorders>
            <w:shd w:val="clear" w:color="auto" w:fill="C8E6FF"/>
            <w:vAlign w:val="center"/>
          </w:tcPr>
          <w:p w14:paraId="492303D9">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考勤</w:t>
            </w:r>
          </w:p>
          <w:p w14:paraId="099E9E8D">
            <w:pPr>
              <w:keepNext w:val="0"/>
              <w:keepLines w:val="0"/>
              <w:suppressLineNumbers w:val="0"/>
              <w:spacing w:before="0" w:beforeAutospacing="0" w:after="0" w:afterAutospacing="0" w:line="264" w:lineRule="auto"/>
              <w:ind w:left="0" w:right="0" w:hanging="8"/>
              <w:jc w:val="center"/>
              <w:rPr>
                <w:rFonts w:hint="eastAsia" w:ascii="Times New Roman" w:hAnsi="Times New Roman"/>
                <w:b/>
                <w:szCs w:val="24"/>
                <w:lang w:eastAsia="zh-CN"/>
              </w:rPr>
            </w:pPr>
            <w:r>
              <w:rPr>
                <w:rFonts w:hint="eastAsia" w:ascii="Times New Roman" w:hAnsi="Times New Roman"/>
                <w:b/>
                <w:szCs w:val="24"/>
                <w:lang w:eastAsia="zh-CN"/>
              </w:rPr>
              <w:t>（</w:t>
            </w:r>
            <w:r>
              <w:rPr>
                <w:rFonts w:hint="eastAsia" w:ascii="Times New Roman" w:hAnsi="Times New Roman"/>
                <w:b/>
                <w:szCs w:val="24"/>
                <w:lang w:val="en-US" w:eastAsia="zh-CN"/>
              </w:rPr>
              <w:t>2min</w:t>
            </w:r>
            <w:r>
              <w:rPr>
                <w:rFonts w:hint="eastAsia" w:ascii="Times New Roman" w:hAnsi="Times New Roman"/>
                <w:b/>
                <w:szCs w:val="24"/>
                <w:lang w:eastAsia="zh-CN"/>
              </w:rPr>
              <w:t>）</w:t>
            </w:r>
          </w:p>
        </w:tc>
        <w:tc>
          <w:tcPr>
            <w:tcW w:w="5807" w:type="dxa"/>
            <w:tcBorders>
              <w:top w:val="double" w:color="4472C4" w:themeColor="accent5" w:sz="4" w:space="0"/>
              <w:tl2br w:val="nil"/>
              <w:tr2bl w:val="nil"/>
            </w:tcBorders>
            <w:vAlign w:val="center"/>
          </w:tcPr>
          <w:p w14:paraId="6A688351">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Cs w:val="24"/>
              </w:rPr>
            </w:pPr>
            <w:r>
              <w:rPr>
                <w:rFonts w:hint="eastAsia" w:ascii="Times New Roman" w:hAnsi="Times New Roman"/>
                <w:color w:val="C00000"/>
                <w:szCs w:val="24"/>
              </w:rPr>
              <w:t>■</w:t>
            </w:r>
            <w:r>
              <w:rPr>
                <w:rFonts w:hint="eastAsia" w:ascii="Times New Roman" w:hAnsi="Times New Roman"/>
                <w:color w:val="C00000"/>
                <w:szCs w:val="24"/>
                <w:lang w:eastAsia="zh-CN"/>
              </w:rPr>
              <w:t>【教师】</w:t>
            </w:r>
            <w:r>
              <w:rPr>
                <w:rFonts w:hint="eastAsia" w:ascii="Times New Roman" w:hAnsi="Times New Roman"/>
                <w:color w:val="C00000"/>
                <w:szCs w:val="24"/>
              </w:rPr>
              <w:t>清点上课人数，记录好考勤</w:t>
            </w:r>
          </w:p>
          <w:p w14:paraId="62CC63A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Cs w:val="24"/>
              </w:rPr>
            </w:pPr>
            <w:r>
              <w:rPr>
                <w:rFonts w:hint="eastAsia" w:ascii="Times New Roman" w:hAnsi="Times New Roman"/>
                <w:color w:val="548235" w:themeColor="accent6" w:themeShade="BF"/>
                <w:szCs w:val="24"/>
              </w:rPr>
              <w:t>■</w:t>
            </w:r>
            <w:r>
              <w:rPr>
                <w:rFonts w:hint="eastAsia" w:ascii="Times New Roman" w:hAnsi="Times New Roman"/>
                <w:color w:val="548235" w:themeColor="accent6" w:themeShade="BF"/>
                <w:szCs w:val="24"/>
                <w:lang w:eastAsia="zh-CN"/>
              </w:rPr>
              <w:t>【学生】</w:t>
            </w:r>
            <w:r>
              <w:rPr>
                <w:rFonts w:hint="eastAsia" w:ascii="Times New Roman" w:hAnsi="Times New Roman"/>
                <w:color w:val="548235" w:themeColor="accent6" w:themeShade="BF"/>
                <w:szCs w:val="24"/>
              </w:rPr>
              <w:t>班干部报请假人员及原因</w:t>
            </w:r>
          </w:p>
        </w:tc>
        <w:tc>
          <w:tcPr>
            <w:tcW w:w="1366" w:type="dxa"/>
            <w:tcBorders>
              <w:top w:val="double" w:color="4472C4" w:themeColor="accent5" w:sz="4" w:space="0"/>
              <w:tl2br w:val="nil"/>
              <w:tr2bl w:val="nil"/>
            </w:tcBorders>
            <w:vAlign w:val="center"/>
          </w:tcPr>
          <w:p w14:paraId="4D5BA30A">
            <w:pPr>
              <w:keepNext w:val="0"/>
              <w:keepLines w:val="0"/>
              <w:suppressLineNumbers w:val="0"/>
              <w:spacing w:before="0" w:beforeAutospacing="0" w:after="0" w:afterAutospacing="0" w:line="360" w:lineRule="auto"/>
              <w:ind w:left="0" w:right="0"/>
              <w:jc w:val="center"/>
              <w:rPr>
                <w:rFonts w:hint="default" w:ascii="Times New Roman" w:hAnsi="Times New Roman"/>
                <w:szCs w:val="20"/>
              </w:rPr>
            </w:pPr>
            <w:r>
              <w:rPr>
                <w:rFonts w:hint="eastAsia" w:ascii="Times New Roman" w:hAnsi="Times New Roman"/>
                <w:szCs w:val="20"/>
              </w:rPr>
              <w:t>培养学生的组织纪律性,掌握学生的出勤情况</w:t>
            </w:r>
          </w:p>
        </w:tc>
      </w:tr>
      <w:tr w14:paraId="4E57289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365845A0">
            <w:pPr>
              <w:keepNext w:val="0"/>
              <w:keepLines w:val="0"/>
              <w:suppressLineNumbers w:val="0"/>
              <w:spacing w:before="0" w:beforeAutospacing="0" w:after="0" w:afterAutospacing="0"/>
              <w:ind w:left="0" w:right="0"/>
              <w:jc w:val="center"/>
              <w:rPr>
                <w:rFonts w:hint="eastAsia" w:ascii="微软雅黑" w:hAnsi="微软雅黑" w:eastAsia="微软雅黑"/>
                <w:b/>
                <w:sz w:val="24"/>
                <w:szCs w:val="24"/>
                <w:lang w:eastAsia="zh-CN"/>
              </w:rPr>
            </w:pPr>
            <w:r>
              <w:rPr>
                <w:rFonts w:hint="eastAsia" w:ascii="微软雅黑" w:hAnsi="微软雅黑" w:eastAsia="微软雅黑"/>
                <w:b/>
                <w:sz w:val="24"/>
                <w:szCs w:val="24"/>
                <w:lang w:eastAsia="zh-CN"/>
              </w:rPr>
              <w:t>知识讲解</w:t>
            </w:r>
          </w:p>
          <w:p w14:paraId="2975A450">
            <w:pPr>
              <w:keepNext w:val="0"/>
              <w:keepLines w:val="0"/>
              <w:suppressLineNumbers w:val="0"/>
              <w:spacing w:before="0" w:beforeAutospacing="0" w:after="0" w:afterAutospacing="0" w:line="264" w:lineRule="auto"/>
              <w:ind w:left="0" w:right="0" w:hanging="8"/>
              <w:jc w:val="center"/>
              <w:rPr>
                <w:rFonts w:hint="default" w:ascii="Times New Roman" w:hAnsi="Times New Roman"/>
                <w:b/>
                <w:szCs w:val="24"/>
              </w:rPr>
            </w:pPr>
            <w:r>
              <w:rPr>
                <w:rFonts w:hint="default" w:ascii="Times New Roman" w:hAnsi="Times New Roman"/>
                <w:szCs w:val="24"/>
              </w:rPr>
              <w:t>（</w:t>
            </w:r>
            <w:r>
              <w:rPr>
                <w:rFonts w:hint="eastAsia" w:ascii="Times New Roman" w:hAnsi="Times New Roman"/>
                <w:szCs w:val="24"/>
                <w:lang w:val="en-US" w:eastAsia="zh-CN"/>
              </w:rPr>
              <w:t>40</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32A1A75B">
            <w:pPr>
              <w:keepNext w:val="0"/>
              <w:keepLines w:val="0"/>
              <w:widowControl/>
              <w:suppressLineNumbers w:val="0"/>
              <w:spacing w:before="0" w:beforeAutospacing="0" w:after="0" w:afterAutospacing="0" w:line="360" w:lineRule="auto"/>
              <w:ind w:left="0" w:right="0" w:firstLine="422" w:firstLineChars="200"/>
              <w:jc w:val="left"/>
              <w:rPr>
                <w:rFonts w:hint="eastAsia" w:ascii="Times New Roman" w:hAnsi="Times New Roman"/>
                <w:b w:val="0"/>
                <w:bCs/>
                <w:color w:val="C00000"/>
                <w:lang w:val="en-US" w:eastAsia="zh-CN"/>
              </w:rPr>
            </w:pPr>
            <w:r>
              <w:rPr>
                <w:rFonts w:hint="eastAsia" w:ascii="Times New Roman" w:hAnsi="Times New Roman"/>
                <w:b/>
                <w:color w:val="C00000"/>
              </w:rPr>
              <w:t>【教师】</w:t>
            </w:r>
            <w:r>
              <w:rPr>
                <w:rFonts w:hint="eastAsia" w:ascii="Times New Roman" w:hAnsi="Times New Roman"/>
                <w:b w:val="0"/>
                <w:bCs/>
                <w:color w:val="C00000"/>
                <w:lang w:val="en-US" w:eastAsia="zh-CN"/>
              </w:rPr>
              <w:t>展示医疗机构管理概述和医疗机构管理的法律规定</w:t>
            </w:r>
          </w:p>
          <w:p w14:paraId="1CEAF05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val="0"/>
                <w:bCs/>
                <w:color w:val="000000" w:themeColor="text1"/>
                <w:lang w:eastAsia="zh-CN"/>
                <w14:textFill>
                  <w14:solidFill>
                    <w14:schemeClr w14:val="tx1"/>
                  </w14:solidFill>
                </w14:textFill>
              </w:rPr>
            </w:pPr>
            <w:r>
              <w:rPr>
                <w:rFonts w:hint="eastAsia" w:asciiTheme="minorEastAsia" w:hAnsiTheme="minorEastAsia" w:eastAsiaTheme="minorEastAsia" w:cstheme="minorEastAsia"/>
                <w:b/>
                <w:bCs w:val="0"/>
                <w:color w:val="000000" w:themeColor="text1"/>
                <w:lang w:eastAsia="zh-CN"/>
                <w14:textFill>
                  <w14:solidFill>
                    <w14:schemeClr w14:val="tx1"/>
                  </w14:solidFill>
                </w14:textFill>
              </w:rPr>
              <w:t>医疗机构管理概述</w:t>
            </w:r>
          </w:p>
          <w:p w14:paraId="120D04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val="0"/>
                <w:bCs/>
                <w:color w:val="231F20"/>
                <w:kern w:val="0"/>
                <w:sz w:val="21"/>
                <w:szCs w:val="21"/>
                <w:lang w:val="en-US" w:eastAsia="zh-CN" w:bidi="ar"/>
              </w:rPr>
            </w:pPr>
            <w:r>
              <w:rPr>
                <w:rFonts w:hint="eastAsia" w:asciiTheme="minorEastAsia" w:hAnsiTheme="minorEastAsia" w:eastAsiaTheme="minorEastAsia" w:cstheme="minorEastAsia"/>
                <w:b/>
                <w:bCs w:val="0"/>
                <w:color w:val="231F20"/>
                <w:kern w:val="0"/>
                <w:sz w:val="21"/>
                <w:szCs w:val="21"/>
                <w:lang w:val="en-US" w:eastAsia="zh-CN" w:bidi="ar"/>
              </w:rPr>
              <w:t xml:space="preserve">一、医疗机构的概念 </w:t>
            </w:r>
          </w:p>
          <w:p w14:paraId="390783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疗机构是指依照法定程序设立的从事对人类健康问题进行诊疗、护理、康复、保健、预防、健康教育、计划生育等服务活动的法人或自然人的社会组织，是医学社会组织的重要组成部分。其主要形式有医院、卫生院、康复疗养院、门诊部、诊所、卫生所（室）以及急救站等医疗机构。</w:t>
            </w:r>
          </w:p>
          <w:p w14:paraId="53E706C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二、医疗机构的分类</w:t>
            </w:r>
          </w:p>
          <w:p w14:paraId="36D2C8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目前，根据医药卫生事业改革方案的不同角度可以将医疗机构分为以下几类。</w:t>
            </w:r>
          </w:p>
          <w:p w14:paraId="2BB4AC0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（一）按医疗机构规模划分</w:t>
            </w:r>
          </w:p>
          <w:p w14:paraId="76B811B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按照医疗机构的规模、所处区域以及所承担的诊疗任务不同，我国的医疗机构可分为①综合医院、中医医院、中西医结合医院、民族医院、专科医院、康复医院；②妇 </w:t>
            </w:r>
          </w:p>
          <w:p w14:paraId="19B4822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幼保健院；③中心卫生院、乡（镇）卫生院、街道卫生院；④疗养院；⑤综合门诊部、专科门诊部、中医门诊部、中西医结合门诊部、民族医门诊部；⑥诊所、中医诊所、民族医诊所、卫生所、医务室、卫生保健所、社区卫生服务中心、社区卫生服务站、卫生站；⑦村卫生室（所）；⑧急救中心、急救站；⑨临床检验中心；⑩专科疾病防治院（所、站），护理院、护理站，其他诊疗机构。 </w:t>
            </w:r>
          </w:p>
          <w:p w14:paraId="670C46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（二）按医疗机构性质划分 </w:t>
            </w:r>
          </w:p>
          <w:p w14:paraId="0FF8811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按照医疗机构的性质、效益以及经费来源，我国的医疗机构可分为非营利性医疗机构和营利性医疗机构。非营利性医疗机构是指为社会公众健康利益服务而设立和运营的医疗机构，其不以赢利为目的，收入用于弥补医疗服务成本，实际运营中的收支结余只能用于自身的发展。例如，用于改善医疗条件、引进技术、购置医疗设备、开展新的医疗服务项目等。目前，我国非营利性医疗机构占主导地位。营利性医疗机构是指医疗服务所得可用于对投资者进行经济回报的医疗机构。关于非营利性与营利性医疗机构的主要区别，我们在上一章第一节中已详细说明。 </w:t>
            </w:r>
          </w:p>
          <w:p w14:paraId="37A69C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（三）按医疗机构投资主体划分 </w:t>
            </w:r>
          </w:p>
          <w:p w14:paraId="388A5C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按照医疗机构的投资主体即其所有制形式，我国的医疗机构可分为公立医疗机构、私立（民办）医疗机构、股份制医疗机构和股份合作制医疗机构、中外合资、合作医疗机构。公立医疗机构的投资主体是国家即国有资产；私立医疗机构的投资主体是自然人即私有资产；股份制医疗机构和股份合作制医疗机构的投资主体呈多元化形式；中外合资、合作医疗机构的投资主体除我国的医疗机构、公司、企业和其他经济组织外，还包括外国的医疗机构、公司、企业和其他经济组织。 </w:t>
            </w:r>
          </w:p>
          <w:p w14:paraId="175429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随着我国社会主义经济的发展、公众生活水平的提高和医疗卫生事业改革的不断深化以及加入世界贸易组织后医疗服务行业对外开放的进一步扩大，我国将出现一些新的医疗机构类型。 </w:t>
            </w:r>
          </w:p>
          <w:p w14:paraId="6B5C27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三、医疗机构的性质</w:t>
            </w:r>
            <w:r>
              <w:rPr>
                <w:rFonts w:hint="eastAsia" w:asciiTheme="minorEastAsia" w:hAnsiTheme="minorEastAsia" w:eastAsiaTheme="minorEastAsia" w:cstheme="minorEastAsia"/>
                <w:color w:val="231F20"/>
                <w:kern w:val="0"/>
                <w:sz w:val="21"/>
                <w:szCs w:val="21"/>
                <w:lang w:val="en-US" w:eastAsia="zh-CN" w:bidi="ar"/>
              </w:rPr>
              <w:t xml:space="preserve"> </w:t>
            </w:r>
          </w:p>
          <w:p w14:paraId="6E6784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机构管理条例》第三条规定：“医疗机构以救死扶伤，防病治病，为公民的健康服务为宗旨。”《全国医院工作条例》第一条规定：“医院是治病防病、保障人民健康的社会主义卫生事业单位。”以上条例规定明确指出了我国医疗机构的基本性质。我国现存的医疗机构，无论是非营利性医疗机构，还是营利性医疗机构都应该是担负着治病防病、保障人民身心健康的社会主义性质的医疗卫生机构，它们的基本目的是要最大限度地满足广大民众的医疗、卫生、康复、保健服务，保障广大民众的身心健康，为社会主义现代化建设服务。各级各类公立医院和城市社区卫生服务体系及农村三级卫生服务网络都是非营利性医疗卫生服务组织机构，都属于不以营利为目的的社会主义的卫生事业单位；各私营营利性医疗卫生组织机构尽管是以营利为目的，但是在社会主义宏观调控下仍属于社会主义性质的企业单位。非营利性和营利性医疗卫生组织机构其工作目标是一致的，都是防病治病、保障广大人民群众的身心健康，为社会主义现代化事业服务的。因此，它们的性质并没有根本区别与冲突。 </w:t>
            </w:r>
          </w:p>
          <w:p w14:paraId="6E91D96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既然我国的非营利性和营利性医疗机构都以防病治病、保障广大民众身心健康为共同目标，各级各类医疗机构就必须坚持正确的政治方向。《全国医院工作条例》第一条还规定：“必须贯彻党和国家的卫生工作方针政策，遵守政府法令，为社会主义现代化建设服务。”这就明确了我国医疗机构的法律法规制度，只有这样，才能坚持组织机构自身具备中国特色社会主义卫生事业的正确的政治方向的明确性质。</w:t>
            </w:r>
          </w:p>
          <w:p w14:paraId="7CEC36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由于我国各级各类医疗机构是防病治病、保障人民健康的社会主义医疗卫生组织机构，其预防、保健和医疗、护理都要以医学科学技术作为手段，而医学科学技术又是要靠医学技术人员去掌握和使用的。进一步来说，各级各类医疗机构是要以全体医学技术人员的医学科学技术去防病治病的，是为保障人民健康服务的。所以，要办好医疗卫生机构，就必须依靠广大医学技术人员，也就是充分调动广大知识分子的积极性，重视专家和技术骨干的作用，为此，《全国医院工作条例》第三条规定：“广大医院职工是办好医院的依靠力量，必须认真贯彻党的知识分子政策，充分发挥技术骨干的作用，鼓励职工努力学习政治、钻研业务技术，培养一支又红又专的技术队伍。”</w:t>
            </w:r>
          </w:p>
          <w:p w14:paraId="1CA360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四、医疗机构的任务</w:t>
            </w:r>
          </w:p>
          <w:p w14:paraId="17EC241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全国医院工作条例》第二条规定：“医院必须以医疗工作为中心，在提高医疗质量的基础上，保证教学和科研任务的完成，并不断提高教学质量和科研水平。同时做好扩大预防、指导基层和计划生育的技术工作。”根据这个规定，医疗机构主要有医疗、护理、康复、预防、保健、健康教育、教学科研、计划生育和指导基层医疗技术为一体的工作任务。</w:t>
            </w:r>
          </w:p>
          <w:p w14:paraId="7E87BB2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（一）医疗、护理工作</w:t>
            </w:r>
          </w:p>
          <w:p w14:paraId="7230A8D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疗、护理服务是医院经常性的中心任务，这是由医院的性质决定的。医院既然是防病治病、保障人民健康的社会主义卫生单位，这种性质就决定了它必须以医疗护理服务作为自己经常性的中心任务。所以，医院必须以诊疗和护理两大业务为主体，药品、检验、影像等医疗辅助业务密切配合为医学中心任务，开展治病防病工作，不断提高医疗护理质量，改善服务态度，全心全意为患者服务。医院的其他工作都必须围绕医护工作这个经常性的中心任务来进行，为医护工作服务。</w:t>
            </w:r>
          </w:p>
          <w:p w14:paraId="4EF5548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（二）预防、保健工作</w:t>
            </w:r>
          </w:p>
          <w:p w14:paraId="30A4AA7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周恩来曾经指出：“要以医院为中心扩大预防。”目前，卫生保健已经成为国际范围内人人最关心的大事。在美国，个人收入的10%以上用于保护健康，而卫生行业是这个国家最大的服务行业。在我国，随着社会经济的发展与繁荣，个人收入不断增加，人民的文化素质也不断提高，对卫生保健的需求亦显得越来越迫切，保健期望也越来越高，同时保健观念也随着国际潮流的变革而不断刷新。现代保健的核心意义在于以社会生产和社会生活为基础，旨在提高人类的生命质量和生活质量，同时强调人人享有卫生保健的权利，主张保健事业的社会性、全民性。众所周知，健康问题在任何情况下都是全民性的问题，只要存在不健康、亚健康或疾病，都有可能危及他人和整个社会。因此，保健事业的最大功能就是保持、保护和增进全人类的健康。现代保健观念从“健康是从家庭、学校和工厂开始的”（WHO：《2000年人人健康全球策略》，1981）这一论点出发，将传统的健康与疾病的问题属于医务人员的观念，转变为属于家庭的、学校的、工厂的、社会的乃至大众的广阔领域，这是观念上的根本转变，也是“人人享有保健”的必然发展。保健从家庭、学校、社区开始，就意味着包括医院在内的各医疗卫生保健服务机构必须进入家庭、学校和社区，为公众实施家庭保健、学校保健和社区保健服务。这是一项卫生保健服务的根本变革工程，21世纪初已在若干城镇实施，今后将进一步得到发展和完善。显然，医院不仅单纯地诊治患者，而且还必须进行预防、保健工作，开展社会性医疗预防服务，成为人民群众健康服务活动的中心。因此，扩大预防即走出医院，进入社区、家庭，开展社区、家庭医疗、预防、卫生、保健、教育和计划生育等技术咨询和服务，是目前医院的重要工作任务。以预防为主是我国的卫生基本方针之一，医院工作是我国卫生工作的一个重要组成部分，必须贯彻预防为主的方针。防治结合是一切医院的基本工作方法，它体现了预防和治疗的辩证统一，医院的任何一项医疗工作</w:t>
            </w:r>
          </w:p>
          <w:p w14:paraId="6CCA6A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都离不开预防。如果医院不把预防工作作为自己的任务，只单纯地诊治患者，就不可能做到不断提高医疗质量，完成医疗任务。所以，医院要扩大预防，积极主动地较早发现患者，进行各种预防性检查，尽快进行有计划的防治，做到无病早防、有病早治，防止急病慢化和交叉感染，并指导社区的预防工作，进行集体预防。为了有效地实行划区分级医疗制度，实行医院分级管理，医院担负着指导社区卫生中心（站）的任务。医院对指定的下级基层医疗单位要进行业务指导，定期或不定期派技术骨干到基层去会诊、讲学、传授新技术和新疗法，为基层培养和输送技术人员。</w:t>
            </w:r>
          </w:p>
          <w:p w14:paraId="0482936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（三）教学和科研</w:t>
            </w:r>
          </w:p>
          <w:p w14:paraId="06F9E5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教学和科研也是医院工作的重要任务，《全国医院工作条例》第四章第十六、十七、十八条有明确规定，各级各类医学社会组织必须遵守照办。要明白医院承担教学任务是由医学科学技术的发展规律决定的。这是因为医学教育的一个显著特点是除了在学校的理论教育和实验教育以外，还必须在医院里进行临床实践教育。临床医学是实践医学，完成完整的医学教育还必须在医院里进行临床教育和临床实践，离开了医院的临床教育，就不可能培养出一个合格的医护人才。在职医、药、护、技人员的继续教育也是在医院里进行的。初级医护人员的基本功、中级医护人员的专业培训，以及高级医护人员的知识更新，同样主要是在医院的医护实践中进行的。</w:t>
            </w:r>
          </w:p>
          <w:p w14:paraId="4546E3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医院是医疗、护理实践的场所，绝大部分的医护工作是在医院里进行的，医院也是医学科学技术人员十分集中的地方，所以，医院有条件、有可能而且必须承担教学任务。</w:t>
            </w:r>
          </w:p>
          <w:p w14:paraId="1E16B2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院不仅要承担教学任务，而且一定要开展科学研究。医院开展科学研究不仅可以解决在临床中提出的新问题，开展新业务、新护理、新疗法，提高医疗、护理服务质量和医护人员的业务技术水平，还可以发展医学科学技术，对医学发展做出贡献。</w:t>
            </w:r>
          </w:p>
          <w:p w14:paraId="0FD6322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（四）计划生育工作 </w:t>
            </w:r>
          </w:p>
          <w:p w14:paraId="327398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人类人口是构成人类社会的主体，没有一定的人口数量就不会有社会生产和生活。因此，一定数量的人口是社会存在和发展的必要条件。这就完全可以看出人类生殖功能不仅是人类繁衍的根本，也是维持社会存在和发展的基本条件。尽管人口因素对社会发展不起最终决定作用，但不同的人口状况对社会发展会产生不同的影响。人既是生产者又是消费者，生产和消费之间存在不可分割的联系。生产是消费的前提，消费又能促进生产的发展。二者之间存在内在的一定比例关系。一个国家或地区，如果人口数量过少、过稀，增长速度过慢，不能满足社会生产的需求时，就会影响社会分工协作，进而影响社会生产发展。相反，如果人口数量过多，增长速度过快，社会物质生产满足不了人口消费、就业需要时，就会出现人口压迫生产力的现象，产生一系列严重社会问题，最终对社会发展起延缓或阻碍作用。因此，对人口的数量和增长速度要进行控制与调节，要实行计划生育政策。 </w:t>
            </w:r>
          </w:p>
          <w:p w14:paraId="3E0F6B3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实行计划生育和提倡优生优育，就是控制人口数量与提高人口质量。这是社会可持续发展的关键，是我国的一项基本国策。根据 2010 年第六次人口普查结果，我国人口为 13.39 亿，全国总出生缺陷率为 5.6%，这说明我国计划生育和优生优育任务任重道远。 </w:t>
            </w:r>
          </w:p>
          <w:p w14:paraId="404C19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实行计划生育的意义：一是有利于国民经济的发展和人民生活水平的提高，这是因为对人口数量的控制可以使我国的人口保持在合理的水平，可以使得生产和消费按比例得到发展；二是有利于家庭的幸福和父母的健康以及对孩子的教育与培养；三是有利于人类与环境的协调和平衡发展，造福于人类。对人类生殖若无控制计划，就会造成人口盲目地增长，人口过多，必然导致盲目地发展生产和消费，这势必导致资源和能源的短缺和枯竭、环境的污染和退化，并使环境质量和生活质量遭到损害，给人类生存带来危机。只有有计划、有意识地控制与调节人口数量，才能避免上述危害，造福于人类。 </w:t>
            </w:r>
          </w:p>
          <w:p w14:paraId="1D5ABEE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计划生育的很多技术性措施都是在医疗机构里由专业人员来实施的，各级各类医疗机构都有实施计划生育的工作任务，然而医院则是实施与指导计划生育的主要场所，这是医院工作的一项基本任务。 </w:t>
            </w:r>
          </w:p>
          <w:p w14:paraId="783E114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五、医疗机构的技术管理 </w:t>
            </w:r>
          </w:p>
          <w:p w14:paraId="46D4EFB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医疗卫生机构的技术管理是指对医疗护理工作中的全部技术活动进行计划、组织、控制、协调和发展提高的管理。《全国医院工作条例》对此做了明确规定。 </w:t>
            </w:r>
          </w:p>
          <w:p w14:paraId="70C952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（一）加强领导 </w:t>
            </w:r>
          </w:p>
          <w:p w14:paraId="0F2F93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卫生机构的各级领导要经常深入业务实践，了解情况，及时掌握全院医疗护理业务动态。要做好人员、设备统一指挥、统一调度，建立正常的工作秩序。做到职责清、情况明、调度灵、协作好、效率高，使院内各项业务工作得以顺利进行。 </w:t>
            </w:r>
          </w:p>
          <w:p w14:paraId="183337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（二）确定目标，制定规划 </w:t>
            </w:r>
          </w:p>
          <w:p w14:paraId="38433A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各级各类医疗卫生机构都必须按上级卫生行政主管部门规定的任务，结合本组织的具体情况，确定业务建设目标，制定长远发展规划和具体实施的年度计划，按计划安排工作。 </w:t>
            </w:r>
          </w:p>
          <w:p w14:paraId="329927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（三）配备和选拔人才 </w:t>
            </w:r>
          </w:p>
          <w:p w14:paraId="70C9AF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各医疗卫生机构特别是非营利性组织，要按照国家发布的组织编制原则，配备各级各类工作人员。缺编的业务技术人员主要从高、中级医药院校毕业生中补充，不得安插未经专业训练的人员。对现有从事业务技术工作而又未经专业训练的人员，要抓紧培训提高，经过技术考核仍不合格者，不得继续从事业务技术工作。要建立技术档案，通过实际考核，选拔优秀人才。 </w:t>
            </w:r>
          </w:p>
          <w:p w14:paraId="66E171D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（四）建立各项规章制度，预防事故发生 </w:t>
            </w:r>
          </w:p>
          <w:p w14:paraId="0623044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各级种类的医疗机构，必须建立以岗位责任制为中心的各项规章制度，明确各级各类人员职责，严格执行医疗护理常规和各项技术操作规程，对关键性制度应经常检查实施情况，逐步做到管理工作制度化、技术操作常规化、基本设施规范化。 </w:t>
            </w:r>
          </w:p>
          <w:p w14:paraId="674643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要积极预防和减少医疗护理差错事故。一旦发生事故，必须以严肃认真、实事求是的态度查明原因，总结经验，吸取教训。各种差错事故都要按规定上报，严肃处理。 </w:t>
            </w:r>
          </w:p>
          <w:p w14:paraId="205C7DA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（五）提高医疗护理质量 </w:t>
            </w:r>
          </w:p>
          <w:p w14:paraId="03E25C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卫生机构要制定出反映医疗护理质量和工作效率的指标，并做好登记、收集、整理和分析工作。经常检查、总结、研究各种指标的变化，并及时解决存在的问题，提高医疗护理质量。门诊、住院患者都要有完整的病案，用科学的方法管理，开展综合研究利用。 </w:t>
            </w:r>
          </w:p>
          <w:p w14:paraId="3B63602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（六）加强设备的管理 </w:t>
            </w:r>
          </w:p>
          <w:p w14:paraId="2F468C8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院应根据现代医学科学技术的发展和实际工作的需要，有计划地购置和切实加强管理新的诊疗仪器设备。大型、精密仪器要确定专人负责，建立管理档案，严格执行使用、保养和定期检查维修的制度，实行专管共用，充分发挥效能。要重视常规器材的配备、保管、维修和更新。 </w:t>
            </w:r>
          </w:p>
          <w:p w14:paraId="428028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六、医疗机构的经济管理</w:t>
            </w:r>
            <w:r>
              <w:rPr>
                <w:rFonts w:hint="eastAsia" w:asciiTheme="minorEastAsia" w:hAnsiTheme="minorEastAsia" w:eastAsiaTheme="minorEastAsia" w:cstheme="minorEastAsia"/>
                <w:color w:val="231F20"/>
                <w:kern w:val="0"/>
                <w:sz w:val="21"/>
                <w:szCs w:val="21"/>
                <w:lang w:val="en-US" w:eastAsia="zh-CN" w:bidi="ar"/>
              </w:rPr>
              <w:t xml:space="preserve"> </w:t>
            </w:r>
          </w:p>
          <w:p w14:paraId="39C176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经济管理是医疗卫生机构管理的重要组成部分。包括运用经济手段促使医疗卫生机构合理地使用人力、物力和财力，提高医疗、护理和后勤服务质量，逐步实行医药成本核算，讲究社会效益和经济效益，更好地完成医疗、护理、卫生、保健、教学、科研、预防等各项工作任务。 </w:t>
            </w:r>
          </w:p>
          <w:p w14:paraId="266555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各级各类医疗卫生机构必须实现医药分开，坚决杜绝购药回扣。对药品材料实行“金额管理、重点统计、实耗实销”的管理办法。严格执行物资采购、验收、保管、领发、点交和赔偿制度。加强财务管理和监督。医院要按照国家政策合理组织收入，努力节约开支，反对铺张浪费，防止贪污盗窃。 </w:t>
            </w:r>
          </w:p>
          <w:p w14:paraId="42C86B2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新建和改建房舍都要以有利于方便患者就诊、诊断治疗，符合防止交叉感染和污水污物无害化处理的原则，做到合理设计、合理布局、合理使用，充分发挥建筑的使用效能。</w:t>
            </w:r>
          </w:p>
          <w:p w14:paraId="018BAB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必须重视总务工作，它是完成医疗、教学、科研任务的重要保障。总务工作要面向医疗，配合临床，为医疗护理工作服务，为患者生活服务，主动及时地服务到科室。积极搞好职工生活。同时，要十分重视总务队伍的建设。 </w:t>
            </w:r>
          </w:p>
          <w:p w14:paraId="15FF734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七、医疗机构的管理立法 </w:t>
            </w:r>
          </w:p>
          <w:p w14:paraId="1DF1E1A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（一）党和政府重视医疗机构的法制建设 </w:t>
            </w:r>
          </w:p>
          <w:p w14:paraId="570FD86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党和政府历来非常重视医疗机构的建设和发展。为了加强对医疗机构的管理，促进医疗卫生事业的发展，保障公民健康，国务院于 1994 年颁布了《医疗机构管理条例》，明确医疗机构以救死扶伤，防病治病，为公民的健康服务为宗旨；指出国家扶持医疗机构的发展，鼓励多种形式兴办医疗机构；确定国务院卫生行政部门负责全国医疗机构的监督管理工作。此后，原卫生部陆续发布了《医疗机构管理条例实施细则》《医疗机构监督管理行政处罚程序》《医疗机构设置规划指导原则》《医疗机构基本标准》等一系列法规、规章。这些法规、规章的颁布和实施，标志着我国医疗机构管理走向了法制化、 规范化道路。 </w:t>
            </w:r>
          </w:p>
          <w:p w14:paraId="0A8476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1978 年 7 月，原卫生部发布了《全国医院工作条例（试行草案）》，全国各省、自治区、直辖市所属各医院普遍参照试行，这无疑对于医疗机构的管理以及整顿、建设、发展起到了积极的作用。该条例经过多年的试行，在实践基础上总结了很多经验，经征求多方意见后，最后作了进一步地修改。1982 年 1 月，原卫生部将修改而成的《全国医院工作条例》颁发给地、市、区以上综合医院执行，并通知其他医疗保健机构一律参照此条例实施。《全国医院工作条例》是党和政府对我国医学社会组织的重视与关怀，也是我国卫生管理工作者集体智慧的科学总结。《全国医院工作条例》对医疗组织机构的性质、任务，领导体制和工作方法都作了详细具体的法制规定，是我国医院管理和建设的法律规范。它对规范医疗行为、提高医护工作质量和医院科学管理水平有着重大的指导作用。在改革开 </w:t>
            </w:r>
          </w:p>
          <w:p w14:paraId="0F90D3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放的大好形势下，《全国医院工作条例》的实施对各级各类医疗保健组织机构起到重大作用，同时对促进医学卫生体制改革亦起到不可估量的作用。 </w:t>
            </w:r>
          </w:p>
          <w:p w14:paraId="6F084B8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（二）医疗机构必须依法执业 </w:t>
            </w:r>
          </w:p>
          <w:p w14:paraId="5163D6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原卫生部《医院管理评价指南》规定，医院管理要严格执行医疗卫生管理法律、法规、规章、诊疗护理规范；严格按照卫生行政部门核定的诊疗科目执业；医院及科室命名规范；不使用非卫生技术人员从事诊疗活动；专业技术人员具备相应岗位的任职资格，不超范围执业；按照规定申请医疗机构校验；按照规定发布医疗广告。 </w:t>
            </w:r>
          </w:p>
          <w:p w14:paraId="4F9DABE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（三）医疗机构立法特征分析 </w:t>
            </w:r>
          </w:p>
          <w:p w14:paraId="09BE7B1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1. 立法目标</w:t>
            </w:r>
            <w:r>
              <w:rPr>
                <w:rFonts w:hint="eastAsia" w:asciiTheme="minorEastAsia" w:hAnsiTheme="minorEastAsia" w:eastAsiaTheme="minorEastAsia" w:cstheme="minorEastAsia"/>
                <w:color w:val="231F20"/>
                <w:kern w:val="0"/>
                <w:sz w:val="21"/>
                <w:szCs w:val="21"/>
                <w:lang w:val="en-US" w:eastAsia="zh-CN" w:bidi="ar"/>
              </w:rPr>
              <w:t xml:space="preserve"> 《医疗机构管理条例》第一条规定：“为了加强对医疗机构的管理，促进医疗卫生事业的发展，保障公民健康，制定本条例。”这即为本条例的制定目标。医疗机构是医学社会组织的主要组成部分，也是医学社会组织中具有指导性质的重要组织机构。全国各级各类包括医疗机构在内的一切医学社会组织都必须严格遵守和切实履行本条例规定。</w:t>
            </w:r>
          </w:p>
          <w:p w14:paraId="53D9A0E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2. 医疗机构的界定</w:t>
            </w:r>
            <w:r>
              <w:rPr>
                <w:rFonts w:hint="eastAsia" w:asciiTheme="minorEastAsia" w:hAnsiTheme="minorEastAsia" w:eastAsiaTheme="minorEastAsia" w:cstheme="minorEastAsia"/>
                <w:color w:val="231F20"/>
                <w:kern w:val="0"/>
                <w:sz w:val="21"/>
                <w:szCs w:val="21"/>
                <w:lang w:val="en-US" w:eastAsia="zh-CN" w:bidi="ar"/>
              </w:rPr>
              <w:t xml:space="preserve"> 《医疗机构管理条例》第二条规定：“本条例适用于从事疾病诊断、治疗活动的医院、卫生院、疗养院、门诊部、诊所、卫生所（室）以及急救站等医疗机构。”这就是对当时社会存在的医疗机构的基本概念所进行的初步界定。根据本章第一节中医学社会组织的概念的讲述，可以明确医疗机构属于医学社会组织的基本组成部分。 </w:t>
            </w:r>
          </w:p>
          <w:p w14:paraId="5FA24BA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3. 规定医疗机构宗旨</w:t>
            </w:r>
            <w:r>
              <w:rPr>
                <w:rFonts w:hint="eastAsia" w:asciiTheme="minorEastAsia" w:hAnsiTheme="minorEastAsia" w:eastAsiaTheme="minorEastAsia" w:cstheme="minorEastAsia"/>
                <w:color w:val="231F20"/>
                <w:kern w:val="0"/>
                <w:sz w:val="21"/>
                <w:szCs w:val="21"/>
                <w:lang w:val="en-US" w:eastAsia="zh-CN" w:bidi="ar"/>
              </w:rPr>
              <w:t xml:space="preserve"> 《医疗机构管理条例》第三条规定：“医疗机构以救死扶伤，防病治病，为公民的健康服务为宗旨。”全国各级各类医疗机构必须遵守本条例规定，救死扶伤、防病治病，全心全意地为广大民众的身心健康负责，尽职尽心地为公众提供医疗护理服务。 </w:t>
            </w:r>
          </w:p>
          <w:p w14:paraId="1D96EE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4. 规定多种形式的医疗机构</w:t>
            </w:r>
            <w:r>
              <w:rPr>
                <w:rFonts w:hint="eastAsia" w:asciiTheme="minorEastAsia" w:hAnsiTheme="minorEastAsia" w:eastAsiaTheme="minorEastAsia" w:cstheme="minorEastAsia"/>
                <w:color w:val="231F20"/>
                <w:kern w:val="0"/>
                <w:sz w:val="21"/>
                <w:szCs w:val="21"/>
                <w:lang w:val="en-US" w:eastAsia="zh-CN" w:bidi="ar"/>
              </w:rPr>
              <w:t xml:space="preserve"> 《医疗机构管理条例》第四条规定：“国家扶持医疗机构的发展，鼓励多种形式兴办医疗机构。”医疗机构形式主要分非营利性和营利性两种，这是两种营业目标一致而性质完全不同的医疗机构，它们都必须服从国务院卫生行政主管部门及本区域卫生行政部门的监督与管理，遵守本条例的各项规定。</w:t>
            </w:r>
          </w:p>
          <w:p w14:paraId="0E4E3273">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val="0"/>
                <w:color w:val="auto"/>
              </w:rPr>
            </w:pPr>
            <w:r>
              <w:rPr>
                <w:rFonts w:hint="eastAsia" w:asciiTheme="minorEastAsia" w:hAnsiTheme="minorEastAsia" w:eastAsiaTheme="minorEastAsia" w:cstheme="minorEastAsia"/>
                <w:b/>
                <w:bCs w:val="0"/>
                <w:color w:val="auto"/>
                <w:kern w:val="2"/>
                <w:sz w:val="21"/>
                <w:szCs w:val="21"/>
                <w:lang w:val="en-US" w:eastAsia="zh-CN" w:bidi="ar"/>
              </w:rPr>
              <w:t>医疗机构管理的法律规定</w:t>
            </w:r>
          </w:p>
          <w:p w14:paraId="0F7DFF6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《医疗机构管理条例》和《医疗机构条例实施细则》对医疗机构的规划布局、设置审批、登记执业、监督管理和罚则等都一一做出了明确规定。 </w:t>
            </w:r>
          </w:p>
          <w:p w14:paraId="6044085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一、医疗机构设置</w:t>
            </w:r>
            <w:r>
              <w:rPr>
                <w:rFonts w:hint="eastAsia" w:asciiTheme="minorEastAsia" w:hAnsiTheme="minorEastAsia" w:eastAsiaTheme="minorEastAsia" w:cstheme="minorEastAsia"/>
                <w:color w:val="231F20"/>
                <w:kern w:val="0"/>
                <w:sz w:val="21"/>
                <w:szCs w:val="21"/>
                <w:lang w:val="en-US" w:eastAsia="zh-CN" w:bidi="ar"/>
              </w:rPr>
              <w:t xml:space="preserve"> </w:t>
            </w:r>
          </w:p>
          <w:p w14:paraId="2D3043E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医疗机构的设置是我国医疗机构管理法律制度的重要内容，涉及医疗机构设置规划、医疗机构设置的原则、医疗机构设置的条件以及申请设置医疗机构的审批程序等方面。 </w:t>
            </w:r>
          </w:p>
          <w:p w14:paraId="36B24D0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（一）医疗机构设置规划</w:t>
            </w:r>
            <w:r>
              <w:rPr>
                <w:rFonts w:hint="eastAsia" w:asciiTheme="minorEastAsia" w:hAnsiTheme="minorEastAsia" w:eastAsiaTheme="minorEastAsia" w:cstheme="minorEastAsia"/>
                <w:color w:val="231F20"/>
                <w:kern w:val="0"/>
                <w:sz w:val="21"/>
                <w:szCs w:val="21"/>
                <w:lang w:val="en-US" w:eastAsia="zh-CN" w:bidi="ar"/>
              </w:rPr>
              <w:t xml:space="preserve"> </w:t>
            </w:r>
          </w:p>
          <w:p w14:paraId="5035D6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机构设置规划是以卫生区域内居民实际医疗服务需求为依据，以合理配置利用医疗卫生资源及公平地向全体公民提供高质量的基本医疗服务为目的，将各级各类、不同隶属关系、不同性质、不同投资主体形式的医疗机构进行统一规划设置和布局。 </w:t>
            </w:r>
          </w:p>
          <w:p w14:paraId="0E631D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1. 医疗机构设置规划的意义</w:t>
            </w:r>
            <w:r>
              <w:rPr>
                <w:rFonts w:hint="eastAsia" w:asciiTheme="minorEastAsia" w:hAnsiTheme="minorEastAsia" w:eastAsiaTheme="minorEastAsia" w:cstheme="minorEastAsia"/>
                <w:color w:val="231F20"/>
                <w:kern w:val="0"/>
                <w:sz w:val="21"/>
                <w:szCs w:val="21"/>
                <w:lang w:val="en-US" w:eastAsia="zh-CN" w:bidi="ar"/>
              </w:rPr>
              <w:t xml:space="preserve"> 医疗机构设置规划是区域卫生规划的重要组成部分，是卫生行政部门审批设置医疗机构的依据。医疗机构设置规划由县级以上地方人民政府卫生行政部门根据其行政区域内的人口、医疗资源、医疗需求和现有医疗机构的分布状况等，依据原卫生部制定的《医疗机构设置规划指导原则》而制定，报同级人民政府批准后实施的。县级以上地方人民政府应当把医疗机构设置规划纳入当地的区域卫生事业发展规划和城乡建设发展总体规划。依据《医疗机构设置规划指导原则》设置区域内的各级各类医疗机构，有助于引导医疗卫生资源的合理配置，符合区域内人群对医疗服务的实际需求，避免医疗卫生资源配置的重叠或遗漏，有利于充分合理地利用我国有限的医疗卫生资源，建立适应我国国情和具有中国特色的医疗服务体系。这样既能为我国公民公平地提供基本医疗服务，又能比较有效地控制医疗成本，从而实现卫生资源的合理配置，提高卫生资源的利用效率，促进我国医疗卫生事业的健康发展。 </w:t>
            </w:r>
          </w:p>
          <w:p w14:paraId="2300D8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2. 医疗机构设置规划分级</w:t>
            </w:r>
            <w:r>
              <w:rPr>
                <w:rFonts w:hint="eastAsia" w:asciiTheme="minorEastAsia" w:hAnsiTheme="minorEastAsia" w:eastAsiaTheme="minorEastAsia" w:cstheme="minorEastAsia"/>
                <w:color w:val="231F20"/>
                <w:kern w:val="0"/>
                <w:sz w:val="21"/>
                <w:szCs w:val="21"/>
                <w:lang w:val="en-US" w:eastAsia="zh-CN" w:bidi="ar"/>
              </w:rPr>
              <w:t xml:space="preserve"> 医疗机构规划设置分省、市、县三级，省级和县级的医疗机构设置规划都要以设区市级所制定的医疗机构设置规划为基础。设区市级卫生行政部门按照区域卫生规划的原则和方法制定医疗机构设置规划。县级卫生行政部门制定医疗机构设置规划的重点是 100 张病床以下的医疗机构的具体配置和布局；省级卫生行政部门制定医疗机构设置规划的重点是 500 张病床以上的医院、重点专科医院、急救中心、临床检验中心等医疗机构的设置。 </w:t>
            </w:r>
          </w:p>
          <w:p w14:paraId="00A8864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（二）医疗机构设置的条件 </w:t>
            </w:r>
          </w:p>
          <w:p w14:paraId="28F7D5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《医疗机构管理条例》第九条规定：“单位或者个人设置医疗机构，必须经县级以上地方人民政府卫生行政部门审查批准，并取得设置医疗机构批准书，方可向有关部门办理其他手续。” </w:t>
            </w:r>
          </w:p>
          <w:p w14:paraId="55F9F88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1. 医疗机构设置的基本条件</w:t>
            </w:r>
            <w:r>
              <w:rPr>
                <w:rFonts w:hint="eastAsia" w:asciiTheme="minorEastAsia" w:hAnsiTheme="minorEastAsia" w:eastAsiaTheme="minorEastAsia" w:cstheme="minorEastAsia"/>
                <w:color w:val="231F20"/>
                <w:kern w:val="0"/>
                <w:sz w:val="21"/>
                <w:szCs w:val="21"/>
                <w:lang w:val="en-US" w:eastAsia="zh-CN" w:bidi="ar"/>
              </w:rPr>
              <w:t xml:space="preserve"> ①符合当地《医疗机构设置规划指导原则》；②有与执业范围相适应的医、药、护、技人员，人员配置符合国家规定，有一定的组织机构； </w:t>
            </w:r>
          </w:p>
          <w:p w14:paraId="3FE87B5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③有与执业范围相适应的医疗业务用房，选址、布局合理并符合卫生要求；④有与执业范围相适应的床位数、仪器等设施；⑤有必要的通信、供电、上下水道、消防等基本设施，并符合卫生要求；⑥有符合法定要求的资金；⑦有相应的规章制度；⑧能独立承担民事责任和法律规定的其他条件。 </w:t>
            </w:r>
          </w:p>
          <w:p w14:paraId="7B3EC63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2. 城市个人诊所的设置条件</w:t>
            </w:r>
            <w:r>
              <w:rPr>
                <w:rFonts w:hint="eastAsia" w:asciiTheme="minorEastAsia" w:hAnsiTheme="minorEastAsia" w:eastAsiaTheme="minorEastAsia" w:cstheme="minorEastAsia"/>
                <w:color w:val="231F20"/>
                <w:kern w:val="0"/>
                <w:sz w:val="21"/>
                <w:szCs w:val="21"/>
                <w:lang w:val="en-US" w:eastAsia="zh-CN" w:bidi="ar"/>
              </w:rPr>
              <w:t xml:space="preserve"> 《医疗机构管理实施细则》第十三条规定：“在城市设立诊所的个人，必须同时具备下列条件：①经医师执业技术考核合格，取得《医师执业证书》；②取得《医师执业证书》或者医师职称后，从事五年以上同一专业的临床工作； </w:t>
            </w:r>
          </w:p>
          <w:p w14:paraId="6850E14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③省、自治区、直辖市卫生行政部门规定的其他条件。” </w:t>
            </w:r>
          </w:p>
          <w:p w14:paraId="0FC353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3. 不得申请设置医疗机构的要求</w:t>
            </w:r>
            <w:r>
              <w:rPr>
                <w:rFonts w:hint="eastAsia" w:asciiTheme="minorEastAsia" w:hAnsiTheme="minorEastAsia" w:eastAsiaTheme="minorEastAsia" w:cstheme="minorEastAsia"/>
                <w:color w:val="231F20"/>
                <w:kern w:val="0"/>
                <w:sz w:val="21"/>
                <w:szCs w:val="21"/>
                <w:lang w:val="en-US" w:eastAsia="zh-CN" w:bidi="ar"/>
              </w:rPr>
              <w:t xml:space="preserve"> 《医疗机构管理实施细则》第十二条规定：“有下列情形之一的，不得申请设置医疗机构：①不能独立承担民事责任的单位；②正在服刑 或者不具有完全民事行为能力的个人；③医疗机构在职、因病退职或者停薪留职的医务人员；④发生二级以上医疗事故未满五年的医务人员；⑤因违反有关法律、法规和规章，已被吊销执业证书的医务人员；⑥被吊销《医疗机构执业许可证》的医疗机构法定代表人或者主要负责人；⑦省、自治区、直辖市政府卫生行政部门规定的其他情形。 </w:t>
            </w:r>
          </w:p>
          <w:p w14:paraId="706CD94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二、医疗机构设置审批程序</w:t>
            </w:r>
            <w:r>
              <w:rPr>
                <w:rFonts w:hint="eastAsia" w:asciiTheme="minorEastAsia" w:hAnsiTheme="minorEastAsia" w:eastAsiaTheme="minorEastAsia" w:cstheme="minorEastAsia"/>
                <w:color w:val="231F20"/>
                <w:kern w:val="0"/>
                <w:sz w:val="21"/>
                <w:szCs w:val="21"/>
                <w:lang w:val="en-US" w:eastAsia="zh-CN" w:bidi="ar"/>
              </w:rPr>
              <w:t xml:space="preserve"> </w:t>
            </w:r>
          </w:p>
          <w:p w14:paraId="6E13EF5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医疗机构设置审批程序包括申请、受理和审批等过程。 </w:t>
            </w:r>
          </w:p>
          <w:p w14:paraId="5F64D7E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（一）申请 </w:t>
            </w:r>
          </w:p>
          <w:p w14:paraId="7004AB1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申请设置医疗机构，应当提交下列文件：①设置申请书；②设置可行性研究报告； </w:t>
            </w:r>
          </w:p>
          <w:p w14:paraId="032F711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③选址报告和建筑设计平面图。 </w:t>
            </w:r>
          </w:p>
          <w:p w14:paraId="64453F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单位或者个人设置医疗机构，应当按照以下规定提出设置申请：①不设床位或者床位不满 100 张的医疗机构，向所在地的县级人民政府卫生行政部门申请；②床位在100张以上的医疗机构和专科医院按照省级人民政府卫生行政部门的规定申请；③机关、企业和事业单位按照国家医疗机构基本标准设置为内部职工服务的门诊部、诊所、卫生所（室），报所在地的县级人民政府卫生行政部门备案。国家统一规划的医疗机构的设置，由国务院卫生行政部门决定。 </w:t>
            </w:r>
          </w:p>
          <w:p w14:paraId="2B21B2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（二）审批 </w:t>
            </w:r>
          </w:p>
          <w:p w14:paraId="1581AA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县级以上地方人民政府卫生行政部门应当自受理设置申请之日起 30 日内，做出批准或者不批准的书面答复；批准设置的，发给设置医疗机构批准书；对不予批准的要以书面形式告知理由。</w:t>
            </w:r>
          </w:p>
          <w:p w14:paraId="1AC19B0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机构管理条例实施细则》第二十条规定：“申请设置医疗机构有下列情形之一的，不予批准：①不符合当地《医疗机构设置规划》；②设置人不符合规定的条件；③不能提供满足投资总额的资信证明；④投资总额不能满足各项预算开支；⑤医疗机构选址不合理；⑥污水、污物、粪便处理方案不合理；⑦省、自治区、直辖市卫生行政部门规定的其他情形。” </w:t>
            </w:r>
          </w:p>
          <w:p w14:paraId="3FB20D6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三、医疗机构的登记</w:t>
            </w:r>
            <w:r>
              <w:rPr>
                <w:rFonts w:hint="eastAsia" w:asciiTheme="minorEastAsia" w:hAnsiTheme="minorEastAsia" w:eastAsiaTheme="minorEastAsia" w:cstheme="minorEastAsia"/>
                <w:color w:val="231F20"/>
                <w:kern w:val="0"/>
                <w:sz w:val="21"/>
                <w:szCs w:val="21"/>
                <w:lang w:val="en-US" w:eastAsia="zh-CN" w:bidi="ar"/>
              </w:rPr>
              <w:t xml:space="preserve"> </w:t>
            </w:r>
          </w:p>
          <w:p w14:paraId="1C5EA2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医疗机构管理条例 第十五条 医疗机构执业，必须进行登记，领取《医疗机构执业许可证》。第十七条 医疗机构的执业登记，由批准其设置的人民政府卫生行政部门办理。 </w:t>
            </w:r>
          </w:p>
          <w:p w14:paraId="7E1158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（一）条件 </w:t>
            </w:r>
          </w:p>
          <w:p w14:paraId="7FA566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申请医疗机构执业登记，应当具备下列条件：①有设置医疗机构批准书；②符合医疗机构的基本标准；③有适合的名称、组织机构和场所；④有与其开展的业务相适应的经费、设施、设备和专业卫生技术人员；⑤有相应的规章制度；⑥能够独立承担民事责任。 </w:t>
            </w:r>
          </w:p>
          <w:p w14:paraId="09439E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机构管理条例实施细则》第二十七条规定：“申请医疗机构执业登记有下列情形之一的，不予登记：①不符合《设置医疗机构批准书》核准的事项；②不符合《医疗机构基本标准》；③投资不到位；④医疗机构用房不能满足诊疗服务功能；⑤通讯、供电、上下水道等公共设施不能满足医疗机构正常运转；⑥医疗机构规章制度不符合要求； </w:t>
            </w:r>
          </w:p>
          <w:p w14:paraId="6337B8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⑦消毒、隔离和无菌操作等基本知识和技能的现场抽查考核不合格；⑧省、自治区、直辖市卫生行政部门规定的其他情形。” </w:t>
            </w:r>
          </w:p>
          <w:p w14:paraId="0419DD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（二）内容 </w:t>
            </w:r>
          </w:p>
          <w:p w14:paraId="56B5426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机构执业登记的主要事项：①名称、地址、主要负责人；②所有制形式；③诊疗科目、床位；④注册资金。具体内容是填写《医疗机构申请执业登记注册书》，并向登记机关提交下列材料：①《设置医疗机构批准书》或者《设置医疗机构备案回执》；②医疗机构用房产权证明或者使用证明；③医疗机构建筑设计平面图；④验资证明、资产评估报告；⑤医疗机构规章制度；⑥医疗机构法定代表人或者主要负责人以及各科室负责人名录和有关资格证书、执业证书复印件；⑦省、自治区、直辖市卫生行政部门规定提交的其他材料。申请门诊部、诊所、卫生所、医务室、卫生保健所和卫生站登记的，还应当提交附设药房（柜）的药品种类清单、卫生技术人员名录及其有关资格证书、执业证书复印件以及省、自治区、直辖市卫生行政部门规定提交的其他材料。 </w:t>
            </w:r>
          </w:p>
          <w:p w14:paraId="3B1198D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县级以上地方人民政府卫生行政部门自受理执业登记申请之日起 45 日内，根据医疗机构管理条例和医疗机构基本标准进行审核。审核合格的，予以登记，颁发《医疗机构执业许可证》；审核不合格的，将审核结果以书面形式通知申请人。 </w:t>
            </w:r>
          </w:p>
          <w:p w14:paraId="0025ECC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（三）变更登记 </w:t>
            </w:r>
          </w:p>
          <w:p w14:paraId="26653BA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医疗机构变更名称、地址、法定代表人或者主要负责人、所有制形式、服务对象、服务方式、注册资金（资本）、诊疗科目、床位（牙椅）的，必须向登记机关申请办理变更登记，并提交下列材料：①医疗机构法定代表人或者主要负责人签署的《医疗机构申请变更登记注册书》；②申请变更登记的原因和理由；③登记机关规定提交的其他材料。在原登记机关管辖权限范围内变更登记事项的，由原登记机关办理变更登记；因变更登记超出原登记机关管辖权限的，由有管辖权的卫生行政部门办理变更登记。 </w:t>
            </w:r>
          </w:p>
          <w:p w14:paraId="3C8DF2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因分立或者合并而保留的医疗机构应当申请变更登记；因分立或者合并而新设置的医疗机构应当申请设置许可和执业登记；因合并而终止的医疗机构应当申请注销登记。机关、企业和事业单位设置的为内部职工服务的医疗机构向社会开放，必须按照规定申请办理变更登记。 </w:t>
            </w:r>
          </w:p>
          <w:p w14:paraId="03C1D3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医疗机构在原登记机关管辖区域内迁移，由原登记机关办理变更登记；向原登记机关管辖区域外迁移的，应当取得迁移目的地所在的卫生行政部门发给的《设置医疗机构批准书》，并经原登记机关核准办理注销登记后，再向迁移目的地的卫生行政部门申请办理执业登记。 </w:t>
            </w:r>
          </w:p>
          <w:p w14:paraId="5B49D0D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登记机关在受理变更登记申请后，依据条例和本细则的有关规定以及当地《医疗机构设置规划》进行审核，按照登记程序或者简化程序办理变更登记，并做出核准变更登记或者不予变更登记的决定。医疗机构停业，必须经登记机关批准。除改建、扩建、迁建原因，医疗机构停业不得超过一年。 </w:t>
            </w:r>
          </w:p>
          <w:p w14:paraId="4DD5593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（四）登记的校验 </w:t>
            </w:r>
          </w:p>
          <w:p w14:paraId="6E7A7E3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（1）床位在 100 张以上的综合医院、中医医院、中西医结合医院、民族医院以及专科医院、疗养院、康复医院、妇幼保健院、急救中心、临床检验中心和专科疾病防治机构的校验期为三年，其他医疗机构的校验期为一年。校验期满前三个月向登记机关申请办理校验手续。 </w:t>
            </w:r>
          </w:p>
          <w:p w14:paraId="014873E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办理校验应当交验《医疗机构执业许可证》，并提交下列文件：①《医疗机构校验申请书》；②《医疗机构执业许可证》副本；③省、自治区、直辖市卫生行政部门规定提交的其他材料。卫生行政部门应当在受理校验申请后的三十日内完成校验。 </w:t>
            </w:r>
          </w:p>
          <w:p w14:paraId="07E9C6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3）医疗机构有下列情形之一的，登记机关可以根据情况给予一至六个月的暂缓校验期：①不符合《医疗机构基本标准》；②限期改正期间；③省、自治区、直辖市卫生行政部门规定的其他情形。不设床位的医疗机构在暂缓校验期内不得执业。暂缓校验期满仍不能通过校验的，由登记机关注销其《医疗机构执业许可证》。</w:t>
            </w:r>
          </w:p>
          <w:p w14:paraId="22BDC95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四、医疗机构的执业规则 </w:t>
            </w:r>
          </w:p>
          <w:p w14:paraId="5EF24E4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《医疗机构管理条例》第二十四条规定：“任何单位或者个人，未取得《医疗机构执业许可证》，不得开展诊疗活动。”；第二十五条规定：“医疗机构执业，必须遵守有关法律、法规和医疗技术规范。” </w:t>
            </w:r>
          </w:p>
          <w:p w14:paraId="20E40AE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（一）加强政治理论学习 </w:t>
            </w:r>
          </w:p>
          <w:p w14:paraId="7F7E7E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以邓小平理论和“三个代表”重要思想为指导，努力学习和贯彻落实科学发展观，并指导现实医疗执业活动。 </w:t>
            </w:r>
          </w:p>
          <w:p w14:paraId="2BBDD1D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（二）加强医德医风建设 </w:t>
            </w:r>
          </w:p>
          <w:p w14:paraId="61194D2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医疗机构应当加强对医务人员的医德教育，遵守卫生医务人员医德规范。应当组织医务人员学习医德规范和有关教材，督促医务人员恪守职业道德。 </w:t>
            </w:r>
          </w:p>
          <w:p w14:paraId="46D857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（三）加强医护质量管理</w:t>
            </w:r>
            <w:r>
              <w:rPr>
                <w:rFonts w:hint="eastAsia" w:asciiTheme="minorEastAsia" w:hAnsiTheme="minorEastAsia" w:eastAsiaTheme="minorEastAsia" w:cstheme="minorEastAsia"/>
                <w:color w:val="231F20"/>
                <w:kern w:val="0"/>
                <w:sz w:val="21"/>
                <w:szCs w:val="21"/>
                <w:lang w:val="en-US" w:eastAsia="zh-CN" w:bidi="ar"/>
              </w:rPr>
              <w:t xml:space="preserve"> </w:t>
            </w:r>
          </w:p>
          <w:p w14:paraId="158E74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机构应当按照卫生行政部门的有关规定、标准加强医疗质量管理，实施医疗质量保证方案，确保医疗安全和服务质量，不断提高服务水平；应当经常对医务人员进行“基础理论、基本知识、基本技能”的训练与考核，把“严格要求、严密组织、严谨态度”落实到各项工作中；应当定期检查、考核各项规章制度和各级各类人员岗位责任制的执行和落实情况；对危重患者应当立即抢救，对限于设备或者技术条件不能诊治的患 </w:t>
            </w:r>
          </w:p>
          <w:p w14:paraId="481385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者，应当及时转诊。 </w:t>
            </w:r>
          </w:p>
          <w:p w14:paraId="0562F4B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（四）出具执业证明和人员身份</w:t>
            </w:r>
            <w:r>
              <w:rPr>
                <w:rFonts w:hint="eastAsia" w:asciiTheme="minorEastAsia" w:hAnsiTheme="minorEastAsia" w:eastAsiaTheme="minorEastAsia" w:cstheme="minorEastAsia"/>
                <w:color w:val="231F20"/>
                <w:kern w:val="0"/>
                <w:sz w:val="21"/>
                <w:szCs w:val="21"/>
                <w:lang w:val="en-US" w:eastAsia="zh-CN" w:bidi="ar"/>
              </w:rPr>
              <w:t xml:space="preserve"> </w:t>
            </w:r>
          </w:p>
          <w:p w14:paraId="34BE66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机构必须将《医疗机构执业许可证》、诊疗科目、诊疗时间和收费标准悬挂于明显处所。必须按照核准登记的诊疗科目开展诊疗活动。不得使用非卫生技术人员从事医疗卫生技术工作；医疗机构工作人员上岗工作必须佩戴载有本人姓名、职务或者职称的标牌。 </w:t>
            </w:r>
          </w:p>
          <w:p w14:paraId="517A2C0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（五）尊重服务对象权利 </w:t>
            </w:r>
          </w:p>
          <w:p w14:paraId="4EE3925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机构及其医护人员必须尊重服务对象对自己的健康问题和诊疗情况的知情权和隐私权。在施行手术、特殊检查或者特殊治疗时，必须征得患者同意，并应当取得其家属或者关系人同意并签字；无法取得患者意见时，应当取得家属或者关系人同意并签字；无法取得患者意见又无家属或者关系人在场，或者遇到其他特殊情况时，经治医师应当提出医疗处置方案，在取得医疗机构负责人或者被授权负责人员的批准后才能实施。 </w:t>
            </w:r>
          </w:p>
          <w:p w14:paraId="30EF657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（六）按法律法规对特殊患者的处理 </w:t>
            </w:r>
          </w:p>
          <w:p w14:paraId="63AED21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医疗机构对传染病、精神病、职业病等患者的特殊诊治和处理，应当按照国家有关法律、法规的规定办理。 </w:t>
            </w:r>
          </w:p>
          <w:p w14:paraId="40CA43C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（七）加强药品管理 </w:t>
            </w:r>
          </w:p>
          <w:p w14:paraId="2DE60E8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医疗机构必须按照有关药品管理的法律、法规，加强药品管理。 </w:t>
            </w:r>
          </w:p>
          <w:p w14:paraId="4D034B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（八）合理合法收费 </w:t>
            </w:r>
          </w:p>
          <w:p w14:paraId="555898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医疗机构必须按照人民政府或者物价部门的有关规定收取医疗费用，详细列项，并出具收据。 </w:t>
            </w:r>
          </w:p>
          <w:p w14:paraId="2AA9937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（九）做好预防保健工作</w:t>
            </w:r>
            <w:r>
              <w:rPr>
                <w:rFonts w:hint="eastAsia" w:asciiTheme="minorEastAsia" w:hAnsiTheme="minorEastAsia" w:eastAsiaTheme="minorEastAsia" w:cstheme="minorEastAsia"/>
                <w:color w:val="231F20"/>
                <w:kern w:val="0"/>
                <w:sz w:val="21"/>
                <w:szCs w:val="21"/>
                <w:lang w:val="en-US" w:eastAsia="zh-CN" w:bidi="ar"/>
              </w:rPr>
              <w:t xml:space="preserve"> </w:t>
            </w:r>
          </w:p>
          <w:p w14:paraId="60F93F1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医疗机构必须承担相应的预防保健工作，承担县级以上人民政府卫生行政部门委托的支援农村、指导基层医疗卫生工作等任务。 </w:t>
            </w:r>
          </w:p>
          <w:p w14:paraId="7D10A5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（十）服从突发公共卫生事件与灾害事故的应急调遣</w:t>
            </w:r>
            <w:r>
              <w:rPr>
                <w:rFonts w:hint="eastAsia" w:asciiTheme="minorEastAsia" w:hAnsiTheme="minorEastAsia" w:eastAsiaTheme="minorEastAsia" w:cstheme="minorEastAsia"/>
                <w:color w:val="231F20"/>
                <w:kern w:val="0"/>
                <w:sz w:val="21"/>
                <w:szCs w:val="21"/>
                <w:lang w:val="en-US" w:eastAsia="zh-CN" w:bidi="ar"/>
              </w:rPr>
              <w:t xml:space="preserve"> </w:t>
            </w:r>
          </w:p>
          <w:p w14:paraId="51115D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发生重大灾害、事故、疾病流行或者其他意外情况时，医疗机构及其卫生技术人员必须服从县级以上人民政府卫生行政部门的调遣。</w:t>
            </w:r>
          </w:p>
          <w:p w14:paraId="57ECC615">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textAlignment w:val="auto"/>
              <w:rPr>
                <w:rFonts w:hint="eastAsia" w:ascii="宋体" w:hAnsi="宋体" w:eastAsia="宋体" w:cs="宋体"/>
                <w:b/>
                <w:bCs w:val="0"/>
                <w:color w:val="000000"/>
                <w:kern w:val="2"/>
                <w:sz w:val="21"/>
                <w:szCs w:val="21"/>
                <w:lang w:val="en-US" w:eastAsia="zh-CN" w:bidi="ar"/>
              </w:rPr>
            </w:pPr>
          </w:p>
          <w:p w14:paraId="355D530E">
            <w:pPr>
              <w:keepNext w:val="0"/>
              <w:keepLines w:val="0"/>
              <w:widowControl w:val="0"/>
              <w:suppressLineNumbers w:val="0"/>
              <w:autoSpaceDE w:val="0"/>
              <w:autoSpaceDN/>
              <w:spacing w:before="0" w:beforeAutospacing="0" w:after="0" w:afterAutospacing="0" w:line="360" w:lineRule="auto"/>
              <w:ind w:left="0" w:right="0"/>
              <w:jc w:val="left"/>
              <w:rPr>
                <w:rFonts w:hint="default" w:ascii="Times New Roman" w:hAnsi="Times New Roman"/>
                <w:b/>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B8BF2D8">
            <w:pPr>
              <w:keepNext w:val="0"/>
              <w:keepLines w:val="0"/>
              <w:suppressLineNumbers w:val="0"/>
              <w:spacing w:before="0" w:beforeAutospacing="0" w:after="0" w:afterAutospacing="0" w:line="360" w:lineRule="auto"/>
              <w:ind w:left="0" w:right="0"/>
              <w:jc w:val="left"/>
              <w:rPr>
                <w:rFonts w:hint="default" w:ascii="Times New Roman" w:hAnsi="Times New Roman"/>
                <w:b/>
                <w:szCs w:val="20"/>
              </w:rPr>
            </w:pPr>
            <w:r>
              <w:rPr>
                <w:rFonts w:hint="eastAsia" w:ascii="Times New Roman" w:hAnsi="Times New Roman"/>
                <w:b/>
                <w:szCs w:val="24"/>
                <w:lang w:eastAsia="zh-CN"/>
              </w:rPr>
              <w:t>展示文章</w:t>
            </w:r>
            <w:r>
              <w:rPr>
                <w:rFonts w:hint="eastAsia" w:ascii="Times New Roman" w:hAnsi="Times New Roman"/>
                <w:b/>
                <w:szCs w:val="24"/>
              </w:rPr>
              <w:t>，</w:t>
            </w:r>
            <w:r>
              <w:rPr>
                <w:rFonts w:hint="eastAsia" w:ascii="Times New Roman" w:hAnsi="Times New Roman"/>
                <w:b/>
                <w:szCs w:val="24"/>
                <w:lang w:eastAsia="zh-CN"/>
              </w:rPr>
              <w:t>让学生更加仔细的阅读，从而</w:t>
            </w:r>
            <w:r>
              <w:rPr>
                <w:rFonts w:hint="eastAsia" w:ascii="Times New Roman" w:hAnsi="Times New Roman"/>
                <w:b/>
                <w:szCs w:val="24"/>
              </w:rPr>
              <w:t>激发学生的学习欲望。</w:t>
            </w:r>
          </w:p>
        </w:tc>
      </w:tr>
      <w:tr w14:paraId="6087601E">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6AF41355">
            <w:pPr>
              <w:keepNext w:val="0"/>
              <w:keepLines w:val="0"/>
              <w:suppressLineNumbers w:val="0"/>
              <w:spacing w:before="0" w:beforeAutospacing="0" w:after="0" w:afterAutospacing="0" w:line="264" w:lineRule="auto"/>
              <w:ind w:left="0" w:right="0" w:hanging="8"/>
              <w:jc w:val="center"/>
              <w:rPr>
                <w:rFonts w:hint="default" w:ascii="Times New Roman" w:hAnsi="Times New Roman"/>
                <w:szCs w:val="24"/>
              </w:rPr>
            </w:pPr>
            <w:r>
              <w:rPr>
                <w:rFonts w:hint="eastAsia" w:ascii="微软雅黑" w:hAnsi="微软雅黑" w:eastAsia="微软雅黑"/>
                <w:b/>
                <w:sz w:val="24"/>
                <w:szCs w:val="24"/>
                <w:lang w:eastAsia="zh-CN"/>
              </w:rPr>
              <w:t>作业布置</w:t>
            </w:r>
            <w:r>
              <w:rPr>
                <w:rFonts w:hint="eastAsia" w:ascii="Times New Roman" w:hAnsi="Times New Roman"/>
                <w:b w:val="0"/>
                <w:bCs w:val="0"/>
                <w:szCs w:val="24"/>
              </w:rPr>
              <w:t>（</w:t>
            </w:r>
            <w:r>
              <w:rPr>
                <w:rFonts w:hint="eastAsia" w:ascii="Times New Roman" w:hAnsi="Times New Roman"/>
                <w:b w:val="0"/>
                <w:bCs w:val="0"/>
                <w:szCs w:val="24"/>
                <w:lang w:val="en-US" w:eastAsia="zh-CN"/>
              </w:rPr>
              <w:t>3</w:t>
            </w:r>
            <w:r>
              <w:rPr>
                <w:rFonts w:hint="eastAsia" w:ascii="Times New Roman" w:hAnsi="Times New Roman"/>
                <w:b w:val="0"/>
                <w:bCs w:val="0"/>
                <w:szCs w:val="24"/>
              </w:rPr>
              <w:t>min）</w:t>
            </w:r>
          </w:p>
        </w:tc>
        <w:tc>
          <w:tcPr>
            <w:tcW w:w="5807" w:type="dxa"/>
            <w:tcBorders>
              <w:tl2br w:val="nil"/>
              <w:tr2bl w:val="nil"/>
            </w:tcBorders>
            <w:vAlign w:val="center"/>
          </w:tcPr>
          <w:p w14:paraId="6C173D98">
            <w:pPr>
              <w:keepNext w:val="0"/>
              <w:keepLines w:val="0"/>
              <w:suppressLineNumbers w:val="0"/>
              <w:spacing w:before="0" w:beforeAutospacing="0" w:after="0" w:afterAutospacing="0" w:line="360" w:lineRule="auto"/>
              <w:ind w:left="0" w:right="0"/>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布置课后作业</w:t>
            </w:r>
          </w:p>
          <w:p w14:paraId="79AD26FA">
            <w:pPr>
              <w:keepNext w:val="0"/>
              <w:keepLines w:val="0"/>
              <w:suppressLineNumbers w:val="0"/>
              <w:spacing w:before="0" w:beforeAutospacing="0" w:after="0" w:afterAutospacing="0" w:line="360" w:lineRule="auto"/>
              <w:ind w:left="0" w:right="0" w:firstLine="422" w:firstLineChars="200"/>
              <w:rPr>
                <w:rFonts w:hint="eastAsia" w:hAnsi="宋体"/>
                <w:bCs/>
              </w:rPr>
            </w:pPr>
            <w:r>
              <w:rPr>
                <w:rFonts w:hint="eastAsia" w:ascii="方正书宋简体" w:hAnsi="方正书宋简体" w:eastAsia="方正书宋简体" w:cs="方正书宋简体"/>
                <w:b/>
                <w:bCs/>
                <w:color w:val="231F20"/>
                <w:kern w:val="0"/>
                <w:sz w:val="21"/>
                <w:szCs w:val="21"/>
                <w:lang w:val="en-US" w:eastAsia="zh-CN" w:bidi="ar"/>
              </w:rPr>
              <w:t>简述</w:t>
            </w:r>
            <w:r>
              <w:rPr>
                <w:rFonts w:hint="default" w:ascii="方正书宋简体" w:hAnsi="方正书宋简体" w:eastAsia="方正书宋简体" w:cs="方正书宋简体"/>
                <w:b/>
                <w:bCs/>
                <w:color w:val="231F20"/>
                <w:kern w:val="0"/>
                <w:sz w:val="21"/>
                <w:szCs w:val="21"/>
                <w:lang w:val="en-US" w:eastAsia="zh-CN" w:bidi="ar"/>
              </w:rPr>
              <w:t>医疗机构的性质</w:t>
            </w:r>
            <w:r>
              <w:rPr>
                <w:rFonts w:hint="eastAsia" w:hAnsi="宋体"/>
                <w:bCs/>
              </w:rPr>
              <w:t>？</w:t>
            </w:r>
          </w:p>
        </w:tc>
        <w:tc>
          <w:tcPr>
            <w:tcW w:w="1366" w:type="dxa"/>
            <w:tcBorders>
              <w:tl2br w:val="nil"/>
              <w:tr2bl w:val="nil"/>
            </w:tcBorders>
            <w:vAlign w:val="center"/>
          </w:tcPr>
          <w:p w14:paraId="31CBB5EA">
            <w:pPr>
              <w:keepNext w:val="0"/>
              <w:keepLines w:val="0"/>
              <w:suppressLineNumbers w:val="0"/>
              <w:spacing w:before="0" w:beforeAutospacing="0" w:after="0" w:afterAutospacing="0" w:line="360" w:lineRule="auto"/>
              <w:ind w:left="0" w:right="0"/>
              <w:jc w:val="left"/>
              <w:rPr>
                <w:rFonts w:hint="eastAsia" w:ascii="Times New Roman" w:hAnsi="Times New Roman"/>
                <w:b/>
                <w:szCs w:val="24"/>
              </w:rPr>
            </w:pPr>
            <w:r>
              <w:rPr>
                <w:rFonts w:hint="eastAsia" w:ascii="Times New Roman" w:hAnsi="Times New Roman"/>
                <w:b w:val="0"/>
                <w:bCs/>
                <w:szCs w:val="24"/>
              </w:rPr>
              <w:t>通过课后练习，使学生巩固所学新知识</w:t>
            </w:r>
          </w:p>
        </w:tc>
      </w:tr>
      <w:tr w14:paraId="7A07024B">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71033243">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13135A6B">
            <w:pPr>
              <w:keepNext w:val="0"/>
              <w:keepLines w:val="0"/>
              <w:widowControl/>
              <w:suppressLineNumbers w:val="0"/>
              <w:spacing w:before="0" w:beforeAutospacing="0" w:after="0" w:afterAutospacing="0" w:line="360" w:lineRule="auto"/>
              <w:ind w:left="0" w:right="0"/>
              <w:jc w:val="left"/>
              <w:rPr>
                <w:rFonts w:hint="default"/>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展示医疗机构工作制度和医疗机构技术人员职务规定</w:t>
            </w:r>
          </w:p>
          <w:p w14:paraId="39D398F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医疗机构工作制度是医疗机构管理法的重要组成部分。医疗机构工作制度涉及面非常广而且复杂，下面所列出的是医疗机构的主要工作制度。 </w:t>
            </w:r>
          </w:p>
          <w:p w14:paraId="6A68899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一、行政管理制度 </w:t>
            </w:r>
          </w:p>
          <w:p w14:paraId="3B41446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行政管理制度包括：①医院领导干部深入科室制度；②请求报告制度；③病历管理制度；④职工培训制度；⑤社会监督制度；⑥医德教育和医德考核制度；⑦档案管理制度；⑧医院应急管理制度；⑨卫生技术人力资源管理制度；⑩ 投诉处理管理制度、医院依法维护患者权利的制度和患者知情同意告知制度等。 </w:t>
            </w:r>
          </w:p>
          <w:p w14:paraId="5E5B1A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二、医疗管理制度</w:t>
            </w:r>
            <w:r>
              <w:rPr>
                <w:rFonts w:hint="eastAsia" w:asciiTheme="minorEastAsia" w:hAnsiTheme="minorEastAsia" w:eastAsiaTheme="minorEastAsia" w:cstheme="minorEastAsia"/>
                <w:color w:val="231F20"/>
                <w:kern w:val="0"/>
                <w:sz w:val="21"/>
                <w:szCs w:val="21"/>
                <w:lang w:val="en-US" w:eastAsia="zh-CN" w:bidi="ar"/>
              </w:rPr>
              <w:t xml:space="preserve"> </w:t>
            </w:r>
          </w:p>
          <w:p w14:paraId="243832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管理制度包括：①急诊室工作制度；②门诊工作制度；③医疗质量管理制度；④医院感染管理制度；⑤手术室管理工作制度；⑥重大医疗过失行为和医疗事故报告制度；⑦医疗技术管理制度；⑧急危重患者抢救及报告制度等。 </w:t>
            </w:r>
          </w:p>
          <w:p w14:paraId="0491DDE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三、护理管理制度</w:t>
            </w:r>
            <w:r>
              <w:rPr>
                <w:rFonts w:hint="eastAsia" w:asciiTheme="minorEastAsia" w:hAnsiTheme="minorEastAsia" w:eastAsiaTheme="minorEastAsia" w:cstheme="minorEastAsia"/>
                <w:color w:val="231F20"/>
                <w:kern w:val="0"/>
                <w:sz w:val="21"/>
                <w:szCs w:val="21"/>
                <w:lang w:val="en-US" w:eastAsia="zh-CN" w:bidi="ar"/>
              </w:rPr>
              <w:t xml:space="preserve"> </w:t>
            </w:r>
          </w:p>
          <w:p w14:paraId="48D6EC4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护理管理制度包括：①护理部工作制度；②病房管理制度；③病房工作人员守则；④护理交接班制度；⑤执行医嘱制度；⑥分级护理制度；⑦护理会诊制度；⑧护理查房制度；⑨护理人员继续教育制度；⑩护理应急管理预案等。</w:t>
            </w:r>
          </w:p>
          <w:p w14:paraId="12DB4E50">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rPr>
            </w:pPr>
            <w:r>
              <w:rPr>
                <w:rFonts w:hint="eastAsia" w:asciiTheme="minorEastAsia" w:hAnsiTheme="minorEastAsia" w:eastAsiaTheme="minorEastAsia" w:cstheme="minorEastAsia"/>
                <w:b/>
                <w:bCs w:val="0"/>
                <w:color w:val="auto"/>
                <w:kern w:val="2"/>
                <w:sz w:val="21"/>
                <w:szCs w:val="21"/>
                <w:lang w:val="en-US" w:eastAsia="zh-CN" w:bidi="ar"/>
              </w:rPr>
              <w:t>医疗机构技术人员职务规定</w:t>
            </w:r>
          </w:p>
          <w:p w14:paraId="17335F1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一、《卫生技术人员职务试行条例》的发布 </w:t>
            </w:r>
          </w:p>
          <w:p w14:paraId="5DF9689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为了发展我国医药卫生事业，充分调动卫生技术人员的积极性和创造性，鼓励卫生技术人员提高技术水平、学术水平和履行相应职责的能力，促进人才的合理流动，以适应社会主义建设的需要，根据中央和国务院关于改革职称评定，实行专业技术职务聘任制度的文件精神，中央职称工作改革小组于 1986 年 3 月 15 日发布了《卫生技术人员职务试行条例》，本法规自发布之日起施行。本法规适用于非营利性医学社会组织，营利性医学社会组织亦应参照执行。 </w:t>
            </w:r>
          </w:p>
          <w:p w14:paraId="2E87F7D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二、卫生技术职务及其分类</w:t>
            </w:r>
            <w:r>
              <w:rPr>
                <w:rFonts w:hint="eastAsia" w:asciiTheme="minorEastAsia" w:hAnsiTheme="minorEastAsia" w:eastAsiaTheme="minorEastAsia" w:cstheme="minorEastAsia"/>
                <w:color w:val="231F20"/>
                <w:kern w:val="0"/>
                <w:sz w:val="21"/>
                <w:szCs w:val="21"/>
                <w:lang w:val="en-US" w:eastAsia="zh-CN" w:bidi="ar"/>
              </w:rPr>
              <w:t xml:space="preserve"> </w:t>
            </w:r>
          </w:p>
          <w:p w14:paraId="5B550B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卫生技术职务以医药卫生技术应用为主要职责，是根据医药卫生工作的实行需要设置的专业技术工作岗位。卫生技术职务有明确职责和履行相应职责必须具备的任职基本条件，在定编定员的基础上，高、中、初级专业技术职务有合理结构比例。 </w:t>
            </w:r>
          </w:p>
          <w:p w14:paraId="297AA3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根据《卫生技术人员职务试行条例》的规定，卫生技术职务分为医、药、护、技四类。 </w:t>
            </w:r>
          </w:p>
          <w:p w14:paraId="2338D4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（一）医疗、预防、保健人员的技术职称 </w:t>
            </w:r>
          </w:p>
          <w:p w14:paraId="607EA6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包括主任医师、副主任医师、主治（主管）医师、医师、医士。 </w:t>
            </w:r>
          </w:p>
          <w:p w14:paraId="708683E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（二）中药、西药人员的技术职称 </w:t>
            </w:r>
          </w:p>
          <w:p w14:paraId="1424989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包括主任药师、副主任药师、主管药师、药师、药士。 </w:t>
            </w:r>
          </w:p>
          <w:p w14:paraId="537FD1D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（三）护理人员的技术职称 </w:t>
            </w:r>
          </w:p>
          <w:p w14:paraId="6B5CF74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包括主任护师、副主任护师、主管护师、护师、护士。 </w:t>
            </w:r>
          </w:p>
          <w:p w14:paraId="069ED51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（四）其他卫生技术人员的技术职称 </w:t>
            </w:r>
          </w:p>
          <w:p w14:paraId="5E9B91A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包括主任技师、副主任技师、主管技师、技师、技士。 </w:t>
            </w:r>
          </w:p>
          <w:p w14:paraId="66EFEBA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在上述医、药、护、技各类技术职称中，主任医（药、护、技）师、副主任医（药、护、技）师为高级技术职务；主治（主管）医（药、护、技）师为中级技术职务；医（药、护、技）师、医（药、护、技）士为初级技术职务。 </w:t>
            </w:r>
          </w:p>
          <w:p w14:paraId="539B50B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三、卫技人员任职基本条件 </w:t>
            </w:r>
          </w:p>
          <w:p w14:paraId="22936B9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卫生技术人员职务试行条例》第六条规定：“各级各类卫生技术人员必须热爱祖国，遵守宪法和法律，拥护中国共产党的领导，贯彻执行党的卫生工作方针，遵守职业道德，全心全意为人民服务，积极为社会主义现代化建设贡献力量。” </w:t>
            </w:r>
          </w:p>
          <w:p w14:paraId="4F8FBF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除上述政治思想条件外，各级各类卫生技术人员还必须分别具备下列条件。 </w:t>
            </w:r>
          </w:p>
          <w:p w14:paraId="4F4DC54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（一）医（药、护、技）士 </w:t>
            </w:r>
          </w:p>
          <w:p w14:paraId="71BD97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（1）了解本专业基础理论，具有一定的技术操作能力。</w:t>
            </w:r>
          </w:p>
          <w:p w14:paraId="40E450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（2）在上级卫生技术人员指导下，能胜任本专业一般技术工作。 </w:t>
            </w:r>
          </w:p>
          <w:p w14:paraId="0661D3A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（3）中专毕业见习一年期满。 </w:t>
            </w:r>
          </w:p>
          <w:p w14:paraId="106436E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（二）医（药、护、技）师 </w:t>
            </w:r>
          </w:p>
          <w:p w14:paraId="6D3EB7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（1）熟悉本专业基础理论，具有一定的技术操作能力。 </w:t>
            </w:r>
          </w:p>
          <w:p w14:paraId="150E409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（2）能独立处理本专业常见病或常用专业技术问题。 </w:t>
            </w:r>
          </w:p>
          <w:p w14:paraId="2EEAEB1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（3）借助工具书，能阅读一种外文的专业书刊。 </w:t>
            </w:r>
          </w:p>
          <w:p w14:paraId="682C70B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中专毕业，从事医（药、护、技）士工作五年以上经考核证明能胜任医（药、护、技）师职务；大学专科毕业，见习一年期满后，从事专业技术工作两年以上；大学本科毕业，见习一年期满；研究生班结业或取得硕士学位者。 </w:t>
            </w:r>
          </w:p>
          <w:p w14:paraId="4F15683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（三）主治（主管）医（药、护、技）师 </w:t>
            </w:r>
          </w:p>
          <w:p w14:paraId="5CB5017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（1）熟悉本专业基础理论，具有较系统的专业知识，掌握国内本专业先进技术并能在实际工作中应用。 </w:t>
            </w:r>
          </w:p>
          <w:p w14:paraId="10A7832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（2）具有较丰富的临床或技术工作经验，能熟练地掌握本专业技术操作，能处理较复杂的专业技术问题，能对下一级卫生技术人员进行业务指导。 </w:t>
            </w:r>
          </w:p>
          <w:p w14:paraId="551F260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（3）在临床或技术工作中取得较好的成绩，或具有一定水平的科学论文或经验总结。能比较顺利地阅读一种外文专业书刊。 </w:t>
            </w:r>
          </w:p>
          <w:p w14:paraId="6E584EC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大学毕业或取得学士学位，从事医（药、护、技）师工作四年以上；研究生班结业或取得第二学士学位，从事医（药、护、技）师工作三年左右；取得硕士学位，从事医（药、护、技）师工作两年左右；取得博士学位者。 </w:t>
            </w:r>
          </w:p>
          <w:p w14:paraId="4871EA0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（四）副主任医（药、护、技）师 </w:t>
            </w:r>
          </w:p>
          <w:p w14:paraId="4749B4A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（1）具有本专业较系统的基础理论和专业知识，了解本专业国内外现状和发展趋势，能吸取最新科研成就并应用于实际工作。 </w:t>
            </w:r>
          </w:p>
          <w:p w14:paraId="2368FF4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（2）工作成绩突出，具有较丰富的临床或技术工作经验，能解决本专业复杂疑难问题或具有较高水平的科学论文或经验总结。能顺利阅读一种外文专业书刊。 </w:t>
            </w:r>
          </w:p>
          <w:p w14:paraId="1451C46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（3）具有指导和组织本专业技术工作和科学研究的能力，具有指导和培养下一级卫生技术人员工作和学习的能力。 </w:t>
            </w:r>
          </w:p>
          <w:p w14:paraId="5B1BBF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（4）具有大学本科以上（含大学本科）学历，从事主治（主管）医（药、护、技）师工作五年以上；取得博士学位，从事主治（主管）医（药、护、技）师工作两年以上。 </w:t>
            </w:r>
          </w:p>
          <w:p w14:paraId="62439E3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（五）主任医（药、护、技）师 </w:t>
            </w:r>
          </w:p>
          <w:p w14:paraId="26EF1A8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（1）精通本专业基础理论和专业知识，掌握本专业国内外的发展趋势，能根据国家需要和专业发展确定本专业工作和科学研究方向。 </w:t>
            </w:r>
          </w:p>
          <w:p w14:paraId="5ABF9B5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（2）工作成绩突出，具有丰富的临床或技术工作经验，能解决复杂疑难的重大技术问题或具有较高水平的科学专著、论文或经验总结。能熟练阅读一种外文的专业书刊。 </w:t>
            </w:r>
          </w:p>
          <w:p w14:paraId="4F1241F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（3）作为本专业的学术、技术带头人，善于指导和组织本专业的全面业务技术工作，具有培养专门人才的能力。 </w:t>
            </w:r>
          </w:p>
          <w:p w14:paraId="3C4015E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（4）从事副主任医（药、护、技）师工作五年以上。 </w:t>
            </w:r>
          </w:p>
          <w:p w14:paraId="64B5497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四、聘任和任命 </w:t>
            </w:r>
          </w:p>
          <w:p w14:paraId="1F4B3A6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各级卫生技术职务必须由行政领导在经过评审委员会评审、符合相应条件的卫生技术人员中，按照限额进行聘任或任命。对未经评审委员会评审或评审认定不符合任职条件者，任何单位或任何人不得聘任或任命其担任卫生技术职务。 </w:t>
            </w:r>
          </w:p>
          <w:p w14:paraId="287FE75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卫生技术职务一般实行聘任制。凡暂时不具备聘任条件的单位可实行任命制。实行聘任制的单位，由行政领导向被聘任的卫生技术人员颁发聘书，双方签订聘约，明确双方的权利、义务和有关事项；实行任命制的单位，按干部管理权限，由行政领导向被任命的卫生技术人员颁发任命书。卫生技术职务任职期限由单位根据工作需要确定。每一任期一般不超过 5 年，可以连聘连任。 聘任或任命单位对受聘或被任命的卫生技术人员的业务水平、服务态度和业绩，应定期或不定期进行考核。考核成绩记入考绩档案，作为提职、调薪、奖惩和能否续聘或任命的依据。 </w:t>
            </w:r>
          </w:p>
          <w:p w14:paraId="00883562">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五、卫生技术职务的主管部门 </w:t>
            </w:r>
          </w:p>
          <w:p w14:paraId="17D14906">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imes New Roman" w:hAnsi="Times New Roman" w:eastAsia="宋体" w:cs="Times New Roman"/>
                <w:b/>
                <w:bCs w:val="0"/>
                <w:color w:val="C00000"/>
                <w:kern w:val="2"/>
                <w:sz w:val="21"/>
                <w:szCs w:val="21"/>
              </w:rPr>
            </w:pPr>
            <w:r>
              <w:rPr>
                <w:rFonts w:hint="eastAsia" w:asciiTheme="minorEastAsia" w:hAnsiTheme="minorEastAsia" w:eastAsiaTheme="minorEastAsia" w:cstheme="minorEastAsia"/>
                <w:color w:val="231F20"/>
                <w:kern w:val="0"/>
                <w:sz w:val="21"/>
                <w:szCs w:val="21"/>
                <w:lang w:val="en-US" w:eastAsia="zh-CN" w:bidi="ar"/>
              </w:rPr>
              <w:t>省、自治区、直辖市卫生厅（局）是地方卫生专业技术职务系列的业务主管部门，在地方职称改革工作领导小组的领导下，负责结合本地区的实际情况制订“实施细则”（报中央职称改革工作领导小组和卫生部备案），并会同当地科技干部管理部门，负责具体实施。</w:t>
            </w:r>
          </w:p>
          <w:p w14:paraId="6179C963">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56B7BBE6">
            <w:pPr>
              <w:keepNext w:val="0"/>
              <w:keepLines w:val="0"/>
              <w:widowControl/>
              <w:suppressLineNumbers w:val="0"/>
              <w:spacing w:before="0" w:beforeAutospacing="0" w:after="0" w:afterAutospacing="0" w:line="360" w:lineRule="auto"/>
              <w:ind w:left="0" w:right="0"/>
              <w:jc w:val="left"/>
              <w:rPr>
                <w:rFonts w:hint="default"/>
              </w:rPr>
            </w:pPr>
            <w:r>
              <w:rPr>
                <w:rFonts w:hint="eastAsia" w:ascii="Times New Roman" w:hAnsi="Times New Roman"/>
                <w:b/>
                <w:szCs w:val="24"/>
              </w:rPr>
              <w:t>教师通过</w:t>
            </w:r>
            <w:r>
              <w:rPr>
                <w:rFonts w:hint="eastAsia" w:ascii="Times New Roman" w:hAnsi="Times New Roman"/>
                <w:b/>
                <w:szCs w:val="24"/>
                <w:lang w:eastAsia="zh-CN"/>
              </w:rPr>
              <w:t>文章展示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val="en-US" w:eastAsia="zh-CN"/>
              </w:rPr>
              <w:t>医疗机构工作制度和</w:t>
            </w:r>
            <w:r>
              <w:rPr>
                <w:rFonts w:hint="eastAsia" w:ascii="宋体" w:hAnsi="宋体" w:eastAsia="宋体" w:cs="宋体"/>
                <w:b/>
                <w:bCs w:val="0"/>
                <w:color w:val="auto"/>
                <w:kern w:val="2"/>
                <w:sz w:val="21"/>
                <w:szCs w:val="21"/>
                <w:lang w:val="en-US" w:eastAsia="zh-CN" w:bidi="ar"/>
              </w:rPr>
              <w:t>医疗机构技术人员职务规定</w:t>
            </w:r>
          </w:p>
          <w:p w14:paraId="1EABCBD5">
            <w:pPr>
              <w:keepNext w:val="0"/>
              <w:keepLines w:val="0"/>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的基本理论知识。</w:t>
            </w:r>
          </w:p>
        </w:tc>
      </w:tr>
      <w:tr w14:paraId="2CA86697">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7552302D">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FCF497D">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108DE5F3">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7703C4E4">
            <w:pPr>
              <w:keepNext w:val="0"/>
              <w:keepLines w:val="0"/>
              <w:widowControl/>
              <w:suppressLineNumbers w:val="0"/>
              <w:spacing w:before="0" w:beforeAutospacing="0" w:after="0" w:afterAutospacing="0" w:line="360" w:lineRule="auto"/>
              <w:ind w:left="0" w:right="0" w:firstLine="422" w:firstLineChars="200"/>
              <w:jc w:val="left"/>
              <w:rPr>
                <w:rFonts w:hint="eastAsia" w:ascii="宋体" w:hAnsi="宋体" w:eastAsia="宋体" w:cs="宋体"/>
                <w:b/>
                <w:bCs w:val="0"/>
                <w:kern w:val="2"/>
                <w:sz w:val="21"/>
                <w:szCs w:val="21"/>
                <w:lang w:val="en-US" w:eastAsia="zh-CN" w:bidi="ar"/>
              </w:rPr>
            </w:pPr>
          </w:p>
          <w:p w14:paraId="34D2F66D">
            <w:pPr>
              <w:keepNext w:val="0"/>
              <w:keepLines w:val="0"/>
              <w:widowControl/>
              <w:suppressLineNumbers w:val="0"/>
              <w:spacing w:before="0" w:beforeAutospacing="0" w:after="0" w:afterAutospacing="0" w:line="360" w:lineRule="auto"/>
              <w:ind w:left="0" w:right="0" w:firstLine="422" w:firstLineChars="200"/>
              <w:jc w:val="left"/>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这节课我们一起学习了医疗机构工作制度，学到了行政管理制度、医疗管理制度、护理管理制度。</w:t>
            </w:r>
          </w:p>
          <w:p w14:paraId="1AF63593">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b/>
                <w:bCs w:val="0"/>
                <w:kern w:val="2"/>
                <w:sz w:val="21"/>
                <w:szCs w:val="21"/>
                <w:lang w:val="en-US" w:eastAsia="zh-CN" w:bidi="ar"/>
              </w:rPr>
            </w:pPr>
          </w:p>
          <w:p w14:paraId="517FE973">
            <w:pPr>
              <w:keepNext w:val="0"/>
              <w:keepLines w:val="0"/>
              <w:widowControl/>
              <w:suppressLineNumbers w:val="0"/>
              <w:spacing w:before="0" w:beforeAutospacing="0" w:after="0" w:afterAutospacing="0" w:line="360" w:lineRule="auto"/>
              <w:ind w:left="0" w:right="0"/>
              <w:jc w:val="left"/>
              <w:rPr>
                <w:rFonts w:hint="default"/>
                <w:lang w:val="en-US"/>
              </w:rPr>
            </w:pPr>
          </w:p>
          <w:p w14:paraId="09618878">
            <w:pPr>
              <w:keepNext w:val="0"/>
              <w:keepLines w:val="0"/>
              <w:widowControl w:val="0"/>
              <w:suppressLineNumbers w:val="0"/>
              <w:spacing w:before="0" w:beforeAutospacing="0" w:after="0" w:afterAutospacing="0" w:line="360" w:lineRule="auto"/>
              <w:ind w:left="0" w:leftChars="0" w:right="0" w:rightChars="0" w:firstLine="211" w:firstLineChars="100"/>
              <w:jc w:val="both"/>
              <w:rPr>
                <w:rFonts w:hint="eastAsia" w:ascii="Times New Roman" w:hAnsi="Times New Roman" w:eastAsia="宋体" w:cs="Times New Roman"/>
                <w:b/>
                <w:bCs w:val="0"/>
                <w:kern w:val="2"/>
                <w:sz w:val="21"/>
                <w:szCs w:val="21"/>
                <w:lang w:val="en-US" w:eastAsia="zh-CN" w:bidi="ar-SA"/>
              </w:rPr>
            </w:pPr>
          </w:p>
        </w:tc>
        <w:tc>
          <w:tcPr>
            <w:tcW w:w="1366" w:type="dxa"/>
            <w:tcBorders>
              <w:tl2br w:val="nil"/>
              <w:tr2bl w:val="nil"/>
            </w:tcBorders>
            <w:vAlign w:val="center"/>
          </w:tcPr>
          <w:p w14:paraId="5F8CC64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4E284E7F">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6F51F1EC">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8C96736">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1D293BBE">
            <w:pPr>
              <w:keepNext w:val="0"/>
              <w:keepLines w:val="0"/>
              <w:widowControl/>
              <w:suppressLineNumbers w:val="0"/>
              <w:spacing w:before="0" w:beforeAutospacing="0" w:after="0" w:afterAutospacing="0" w:line="360" w:lineRule="auto"/>
              <w:ind w:left="0" w:right="0" w:firstLine="422" w:firstLineChars="200"/>
              <w:jc w:val="left"/>
              <w:rPr>
                <w:rFonts w:hint="eastAsia" w:ascii="宋体" w:hAnsi="宋体" w:eastAsia="宋体" w:cs="宋体"/>
                <w:b/>
                <w:bCs w:val="0"/>
                <w:kern w:val="2"/>
                <w:sz w:val="21"/>
                <w:szCs w:val="21"/>
                <w:lang w:val="en-US" w:eastAsia="zh-CN" w:bidi="ar"/>
              </w:rPr>
            </w:pPr>
            <w:r>
              <w:rPr>
                <w:rFonts w:hint="eastAsia" w:ascii="宋体" w:hAnsi="宋体" w:cs="宋体"/>
                <w:b/>
                <w:bCs w:val="0"/>
                <w:kern w:val="2"/>
                <w:sz w:val="21"/>
                <w:szCs w:val="21"/>
                <w:lang w:val="en-US" w:eastAsia="zh-CN" w:bidi="ar"/>
              </w:rPr>
              <w:t>简述</w:t>
            </w:r>
            <w:r>
              <w:rPr>
                <w:rFonts w:hint="eastAsia" w:ascii="宋体" w:hAnsi="宋体" w:eastAsia="宋体" w:cs="宋体"/>
                <w:b/>
                <w:bCs w:val="0"/>
                <w:kern w:val="2"/>
                <w:sz w:val="21"/>
                <w:szCs w:val="21"/>
                <w:lang w:val="en-US" w:eastAsia="zh-CN" w:bidi="ar"/>
              </w:rPr>
              <w:t>行政管理制度</w:t>
            </w:r>
            <w:r>
              <w:rPr>
                <w:rFonts w:hint="eastAsia" w:ascii="宋体" w:hAnsi="宋体" w:cs="宋体"/>
                <w:b/>
                <w:bCs w:val="0"/>
                <w:kern w:val="2"/>
                <w:sz w:val="21"/>
                <w:szCs w:val="21"/>
                <w:lang w:val="en-US" w:eastAsia="zh-CN" w:bidi="ar"/>
              </w:rPr>
              <w:t>？</w:t>
            </w:r>
          </w:p>
          <w:p w14:paraId="35C470DE">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p>
        </w:tc>
        <w:tc>
          <w:tcPr>
            <w:tcW w:w="1366" w:type="dxa"/>
            <w:tcBorders>
              <w:tl2br w:val="nil"/>
              <w:tr2bl w:val="nil"/>
            </w:tcBorders>
            <w:vAlign w:val="center"/>
          </w:tcPr>
          <w:p w14:paraId="1AB7C59C">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211AEE1D">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2E661FB0">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28772DA9">
            <w:pPr>
              <w:keepNext w:val="0"/>
              <w:keepLines w:val="0"/>
              <w:widowControl/>
              <w:suppressLineNumbers w:val="0"/>
              <w:spacing w:before="0" w:beforeAutospacing="0" w:after="0" w:afterAutospacing="0" w:line="360" w:lineRule="auto"/>
              <w:ind w:left="0" w:right="0"/>
              <w:jc w:val="left"/>
              <w:rPr>
                <w:rFonts w:hint="default"/>
                <w:lang w:val="en-US"/>
              </w:rPr>
            </w:pPr>
            <w:r>
              <w:rPr>
                <w:rFonts w:hint="eastAsia" w:ascii="宋体" w:hAnsi="宋体" w:eastAsia="宋体" w:cs="宋体"/>
                <w:b/>
                <w:bCs w:val="0"/>
                <w:color w:val="C00000"/>
                <w:kern w:val="2"/>
                <w:sz w:val="21"/>
                <w:szCs w:val="21"/>
                <w:lang w:val="en-US" w:eastAsia="zh-CN" w:bidi="ar"/>
              </w:rPr>
              <w:t>【教师】</w:t>
            </w:r>
            <w:r>
              <w:rPr>
                <w:rFonts w:hint="eastAsia" w:ascii="宋体" w:hAnsi="宋体" w:eastAsia="宋体" w:cs="宋体"/>
                <w:b w:val="0"/>
                <w:bCs/>
                <w:color w:val="C00000"/>
                <w:kern w:val="2"/>
                <w:sz w:val="21"/>
                <w:szCs w:val="21"/>
                <w:lang w:val="en-US" w:eastAsia="zh-CN" w:bidi="ar"/>
              </w:rPr>
              <w:t>展示医疗机构的监督管理与评审制度和违反管理条例的罚则</w:t>
            </w:r>
          </w:p>
          <w:p w14:paraId="52D820B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一、医疗机构的监督管理 </w:t>
            </w:r>
          </w:p>
          <w:p w14:paraId="62338D2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国务院卫生行政部门负责全国医疗机构的监督管理工作。 </w:t>
            </w:r>
          </w:p>
          <w:p w14:paraId="25DD07A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县级以上人民政府卫生行政部门负责本行政区域内医疗机构的监督管理工作，行使下列监督管理职权：①负责医疗机构的设置审批、执业登记和校验；②对医疗机构的执业活动进行检查指导；③负责组织对医疗机构的评审；④对违反《医疗机构管理条例》的行为给予处罚。 </w:t>
            </w:r>
          </w:p>
          <w:p w14:paraId="57E363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县级以上卫生行政部门设医疗机构监督员，实行医疗机构监督员制度，监督员由同级卫生行政部门聘任，履行规定的监督管理职责。 </w:t>
            </w:r>
          </w:p>
          <w:p w14:paraId="3DB4A21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医疗机构监督员应当严格执行国家有关法律、法规和规章，其主要职责是：①对医疗机构执行有关法律、法规、规章和标准的情况进行监督、检查、指导；②对医疗机构执业活动进行监督、检查、指导；③对医疗机构违反条例和本细则的案件进行调查、取证；④对经查证属实的案件向卫生行政部门提出处理或者处罚意见；⑤实施职权范围内的处罚；⑥完成卫生行政部门交付的其他监督管理工作。</w:t>
            </w:r>
          </w:p>
          <w:p w14:paraId="6D22C9F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rPr>
            </w:pPr>
            <w:r>
              <w:rPr>
                <w:rFonts w:hint="eastAsia" w:asciiTheme="minorEastAsia" w:hAnsiTheme="minorEastAsia" w:eastAsiaTheme="minorEastAsia" w:cstheme="minorEastAsia"/>
                <w:b/>
                <w:bCs/>
                <w:color w:val="231F20"/>
                <w:kern w:val="0"/>
                <w:sz w:val="21"/>
                <w:szCs w:val="21"/>
                <w:lang w:val="en-US" w:eastAsia="zh-CN" w:bidi="ar"/>
              </w:rPr>
              <w:t>二、医疗机构的评审制度</w:t>
            </w:r>
            <w:r>
              <w:rPr>
                <w:rFonts w:hint="eastAsia" w:asciiTheme="minorEastAsia" w:hAnsiTheme="minorEastAsia" w:eastAsiaTheme="minorEastAsia" w:cstheme="minorEastAsia"/>
                <w:color w:val="ED028C"/>
                <w:kern w:val="0"/>
                <w:sz w:val="23"/>
                <w:szCs w:val="23"/>
                <w:lang w:val="en-US" w:eastAsia="zh-CN" w:bidi="ar"/>
              </w:rPr>
              <w:t xml:space="preserve"> </w:t>
            </w:r>
          </w:p>
          <w:p w14:paraId="7EA75FC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《医疗机构管理条例》第四十一条规定：“国家实行医疗机构评审制度，由专家组成的评审委员会按照医疗机构评审办法和评审标准，对医疗机构的执业活动、医疗服务质量等进行综合评价。” </w:t>
            </w:r>
          </w:p>
          <w:p w14:paraId="630B9B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县级以上地方人民政府卫生行政部门负责组织本行政区域医疗机构评审委员会。评审委员会成员由医院管理、医学教育、医疗、医技、护理和财务等有关专家组成，并由县级以上地方人民政府卫生行政部门聘任。 </w:t>
            </w:r>
          </w:p>
          <w:p w14:paraId="4405B9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default" w:ascii="方正书宋简体" w:hAnsi="方正书宋简体" w:eastAsia="方正书宋简体" w:cs="方正书宋简体"/>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县级以上地方人民政府卫生行政部门根据评审委员会的评审意见，对达到评审标准的医疗机构发放评审合格证书；对未达到评审标准的医疗机构提出处理意见。</w:t>
            </w:r>
            <w:r>
              <w:rPr>
                <w:rFonts w:hint="default" w:ascii="方正书宋简体" w:hAnsi="方正书宋简体" w:eastAsia="方正书宋简体" w:cs="方正书宋简体"/>
                <w:color w:val="231F20"/>
                <w:kern w:val="0"/>
                <w:sz w:val="21"/>
                <w:szCs w:val="21"/>
                <w:lang w:val="en-US" w:eastAsia="zh-CN" w:bidi="ar"/>
              </w:rPr>
              <w:t xml:space="preserve"> </w:t>
            </w:r>
          </w:p>
          <w:p w14:paraId="2520B37B">
            <w:pPr>
              <w:keepNext w:val="0"/>
              <w:keepLines w:val="0"/>
              <w:widowControl/>
              <w:suppressLineNumbers w:val="0"/>
              <w:spacing w:before="0" w:beforeAutospacing="0" w:after="0" w:afterAutospacing="0" w:line="360" w:lineRule="auto"/>
              <w:ind w:left="0" w:right="0" w:firstLine="422" w:firstLineChars="200"/>
              <w:jc w:val="left"/>
              <w:rPr>
                <w:rFonts w:hint="eastAsia" w:asciiTheme="minorEastAsia" w:hAnsiTheme="minorEastAsia" w:eastAsiaTheme="minorEastAsia" w:cstheme="minorEastAsia"/>
                <w:b/>
                <w:bCs w:val="0"/>
                <w:color w:val="auto"/>
              </w:rPr>
            </w:pPr>
            <w:r>
              <w:rPr>
                <w:rFonts w:hint="eastAsia" w:asciiTheme="minorEastAsia" w:hAnsiTheme="minorEastAsia" w:eastAsiaTheme="minorEastAsia" w:cstheme="minorEastAsia"/>
                <w:b/>
                <w:bCs w:val="0"/>
                <w:color w:val="auto"/>
                <w:kern w:val="2"/>
                <w:sz w:val="21"/>
                <w:szCs w:val="21"/>
                <w:lang w:val="en-US" w:eastAsia="zh-CN" w:bidi="ar"/>
              </w:rPr>
              <w:t>违反管理条例的罚则</w:t>
            </w:r>
          </w:p>
          <w:p w14:paraId="5568E61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医疗机构管理条例实施细则</w:t>
            </w:r>
          </w:p>
          <w:p w14:paraId="7AF3281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both"/>
              <w:textAlignment w:val="auto"/>
              <w:rPr>
                <w:rFonts w:hint="eastAsia" w:ascii="Times New Roman" w:hAnsi="Times New Roman" w:eastAsia="宋体" w:cs="Times New Roman"/>
                <w:b/>
                <w:bCs w:val="0"/>
                <w:color w:val="C00000"/>
                <w:kern w:val="2"/>
                <w:sz w:val="21"/>
                <w:szCs w:val="21"/>
              </w:rPr>
            </w:pPr>
            <w:r>
              <w:rPr>
                <w:rFonts w:hint="eastAsia" w:asciiTheme="minorEastAsia" w:hAnsiTheme="minorEastAsia" w:eastAsiaTheme="minorEastAsia" w:cstheme="minorEastAsia"/>
                <w:color w:val="231F20"/>
                <w:kern w:val="0"/>
                <w:sz w:val="21"/>
                <w:szCs w:val="21"/>
                <w:lang w:val="en-US" w:eastAsia="zh-CN" w:bidi="ar"/>
              </w:rPr>
              <w:t>第七章处罚第七十七条对未取得《医疗机构执业许可证》擅自执业的，责令其停止执业活动，没收非法所得和药品、器械，并处以三千元以下的罚款；有下列情形之一的，责令其停止执业活动，没收非法所得和药品、器械，处以三千元以上一万元以下的罚款：（一）因擅自执业曾受过卫生计生行政部门处罚；（二）擅自执业的人员为非卫生技术专业人员；（三）擅自执业时间在三个月以上；（四）给患者造成伤害；（五）使用假药、劣药蒙骗患者；（六）以行医为名骗取患者钱物；（七）省、自治区、直辖市卫生计生行政部门规定的其他情形。第七十八条对不按期办理校验《医疗机构执业许可证》又不停止诊疗活动的，责令其限期补办校验手续；在限期内仍不办理校验的，吊销其《医疗机构执业许可证》。第七十九条转让、出借《医疗机构执业许可证》的，没收其非法所得，并处以三千元以下的罚款；有下列情形之一的，没收其非法所得，处以三千元以上五千元以下的罚款，并吊销《医疗机构执业许可证》：（一）出卖《医疗机构执业许可证》；（二）转让或者出借《医疗机构执业许可证》是以营利为目的；（三）受让方或者承借方给患者造成伤害；（四）转让、出借《医疗机构执业许可证》给非卫生技术专业人员；（五）省、自治区、直辖市卫生计生行政部门规定的其他情形。第八十条除急诊和急救外，医疗机构诊疗活动超出登记的诊疗科目范围，情节轻微的，处以警告；有下列情形之一的，责令其限期改正，并可处以三千元以下罚款；（一）超出登记的诊疗科目范围的诊疗活动累计收入在三千元以下；（二）给患者造成伤害。有下列情形之一的，处以三千元罚款，并吊销《医疗机构执业许可证》：（一）超出登记的诊疗科目范围的诊疗活动累计收入在三千元以上；（二）给患者造成伤害；（三）省、自治区、直辖市卫生计生行政部门规定的其他情形。第八十一条任用非卫生技术人员从事医疗卫生技术工作的，责令其立即改正，并可处以三千元以下罚款；有下列情形之一的，处以三千元以上五千元以下罚款，并可以吊销其《医疗机构执业许可证》：（一）任用两名以上非卫生技术人员从事诊疗活动；（二）任用的非卫生技术人员给患者造成伤害。医疗机构使用卫生技术人员从事本专业以外的诊疗活动的，按使用非卫生技术人员处理。第八十二条出具虚假证明文件，情节轻微的，给予警告，并可处以五百元以下的罚款；有下列情形之一的，处以五百元以上一千元以下的罚款：（一）出具虚假证明文件造成延误诊治的；（二）出具虚假证明文件给患者精神造成伤害的；（三）造成其他危害后果的。对直接责任人员由所在单位或者上给机关给予行政处分。第八十三条医疗机构有下列情形之一的，登记机关可以责令其限期改正：（一）发生重大医疗事故；（二）连续发生同类医疗事故，不采取有效防范措施；（三）连续发生原因不明的同类患者死亡事件，同时存在管理不善因素；（四）管理混乱，有严重事故隐患，可能直接影响医疗安全；（五）省、自治区、直辖市卫生计生行政部门规定的其他情形。第八十四条当事人对行政处罚决定不服的，可以在接到《行政处罚决定通知书》之日起十五日内向作出行政处罚的上一级卫生计生行政部门申请复议。上级卫生计生行政部门应当在接到申请书之日起三十日内作出书面答复。当事人对行政处罚决定不服的，也可以在接到《行政处罚决定通知书》之日起十五日内直接向人民法院提起行政诉讼。逾期不申请复议、不起诉又不履行处罚决定的，由作出行政处罚决定的卫生计生行政部门填写《行政处罚强制执行申请书》，向人民法院申请强制执行。</w:t>
            </w:r>
          </w:p>
          <w:p w14:paraId="5F06E1B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both"/>
              <w:textAlignment w:val="auto"/>
              <w:rPr>
                <w:rFonts w:hint="eastAsia" w:ascii="宋体" w:hAnsi="宋体" w:eastAsia="宋体" w:cs="宋体"/>
                <w:color w:val="538135"/>
                <w:kern w:val="2"/>
                <w:sz w:val="21"/>
                <w:szCs w:val="21"/>
                <w:lang w:val="en-US" w:eastAsia="zh-CN" w:bidi="ar"/>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02E08DBF">
            <w:pPr>
              <w:keepNext w:val="0"/>
              <w:keepLines w:val="0"/>
              <w:widowControl/>
              <w:suppressLineNumbers w:val="0"/>
              <w:spacing w:before="0" w:beforeAutospacing="0" w:after="0" w:afterAutospacing="0" w:line="360" w:lineRule="auto"/>
              <w:ind w:left="0" w:right="0"/>
              <w:jc w:val="left"/>
              <w:rPr>
                <w:rFonts w:hint="default" w:ascii="Times New Roman" w:hAnsi="Times New Roman"/>
                <w:szCs w:val="24"/>
              </w:rPr>
            </w:pPr>
            <w:r>
              <w:rPr>
                <w:rFonts w:hint="eastAsia" w:ascii="Times New Roman" w:hAnsi="Times New Roman"/>
                <w:b/>
                <w:szCs w:val="24"/>
              </w:rPr>
              <w:t>教师通过</w:t>
            </w:r>
            <w:r>
              <w:rPr>
                <w:rFonts w:hint="eastAsia" w:ascii="Times New Roman" w:hAnsi="Times New Roman"/>
                <w:b/>
                <w:szCs w:val="24"/>
                <w:lang w:eastAsia="zh-CN"/>
              </w:rPr>
              <w:t>文章展示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val="en-US" w:eastAsia="zh-CN"/>
              </w:rPr>
              <w:t>医疗机构的监督管理与评审制度和</w:t>
            </w:r>
            <w:r>
              <w:rPr>
                <w:rFonts w:hint="eastAsia" w:ascii="宋体" w:hAnsi="宋体" w:eastAsia="宋体" w:cs="宋体"/>
                <w:b/>
                <w:bCs w:val="0"/>
                <w:color w:val="auto"/>
                <w:kern w:val="2"/>
                <w:sz w:val="21"/>
                <w:szCs w:val="21"/>
                <w:lang w:val="en-US" w:eastAsia="zh-CN" w:bidi="ar"/>
              </w:rPr>
              <w:t>违反管理条例的罚则</w:t>
            </w:r>
            <w:r>
              <w:rPr>
                <w:rFonts w:hint="eastAsia" w:ascii="Times New Roman" w:hAnsi="Times New Roman"/>
                <w:b/>
                <w:szCs w:val="24"/>
              </w:rPr>
              <w:t>的基本理论识。</w:t>
            </w:r>
          </w:p>
        </w:tc>
      </w:tr>
      <w:tr w14:paraId="4F6A4679">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5F14CB84">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6C7FE880">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5ED51A3F">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666A526D">
            <w:pPr>
              <w:keepNext w:val="0"/>
              <w:keepLines w:val="0"/>
              <w:widowControl/>
              <w:suppressLineNumbers w:val="0"/>
              <w:spacing w:before="0" w:beforeAutospacing="0" w:after="0" w:afterAutospacing="0" w:line="360" w:lineRule="auto"/>
              <w:ind w:left="0" w:right="0" w:firstLine="422" w:firstLineChars="200"/>
              <w:jc w:val="left"/>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这节课我们一起学习了医疗机构的监督管理与评审制度，</w:t>
            </w:r>
          </w:p>
          <w:p w14:paraId="4431EA4C">
            <w:pPr>
              <w:keepNext w:val="0"/>
              <w:keepLines w:val="0"/>
              <w:widowControl/>
              <w:suppressLineNumbers w:val="0"/>
              <w:spacing w:before="0" w:beforeAutospacing="0" w:after="0" w:afterAutospacing="0" w:line="360" w:lineRule="auto"/>
              <w:ind w:left="0" w:right="0"/>
              <w:jc w:val="left"/>
              <w:rPr>
                <w:rFonts w:hint="default" w:ascii="Times New Roman" w:hAnsi="Times New Roman" w:eastAsia="宋体" w:cs="Times New Roman"/>
                <w:b/>
                <w:bCs w:val="0"/>
                <w:kern w:val="2"/>
                <w:sz w:val="21"/>
                <w:szCs w:val="21"/>
                <w:lang w:val="en-US" w:eastAsia="zh-CN" w:bidi="ar-SA"/>
              </w:rPr>
            </w:pPr>
            <w:r>
              <w:rPr>
                <w:rFonts w:hint="eastAsia" w:ascii="宋体" w:hAnsi="宋体" w:eastAsia="宋体" w:cs="宋体"/>
                <w:b/>
                <w:bCs w:val="0"/>
                <w:kern w:val="2"/>
                <w:sz w:val="21"/>
                <w:szCs w:val="21"/>
                <w:lang w:val="en-US" w:eastAsia="zh-CN" w:bidi="ar"/>
              </w:rPr>
              <w:t>了解了</w:t>
            </w:r>
            <w:r>
              <w:rPr>
                <w:rFonts w:hint="default" w:ascii="宋体" w:hAnsi="宋体" w:eastAsia="宋体" w:cs="宋体"/>
                <w:b/>
                <w:bCs w:val="0"/>
                <w:kern w:val="2"/>
                <w:sz w:val="21"/>
                <w:szCs w:val="21"/>
                <w:lang w:val="en-US" w:eastAsia="zh-CN" w:bidi="ar"/>
              </w:rPr>
              <w:t>评审委员会成员由医院管理、医学教育、医疗、医技、护理和财务等有关专家组成，并由县级以上地方人民政府卫生行政部门聘任。</w:t>
            </w:r>
          </w:p>
        </w:tc>
        <w:tc>
          <w:tcPr>
            <w:tcW w:w="1366" w:type="dxa"/>
            <w:tcBorders>
              <w:tl2br w:val="nil"/>
              <w:tr2bl w:val="nil"/>
            </w:tcBorders>
            <w:vAlign w:val="center"/>
          </w:tcPr>
          <w:p w14:paraId="28BCAEA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通过对所学知识的回顾，培养学生的归纳总结能力</w:t>
            </w:r>
          </w:p>
        </w:tc>
      </w:tr>
      <w:tr w14:paraId="5F09BAB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48DCABD5">
            <w:pPr>
              <w:keepNext w:val="0"/>
              <w:keepLines w:val="0"/>
              <w:widowControl w:val="0"/>
              <w:suppressLineNumbers w:val="0"/>
              <w:spacing w:before="0" w:beforeAutospacing="0" w:after="0" w:afterAutospacing="0"/>
              <w:ind w:left="0" w:leftChars="0" w:right="0" w:rightChars="0"/>
              <w:jc w:val="center"/>
              <w:rPr>
                <w:rFonts w:hint="eastAsia" w:ascii="Times New Roman" w:hAnsi="Times New Roman" w:eastAsia="宋体" w:cs="Times New Roman"/>
                <w:kern w:val="2"/>
                <w:sz w:val="21"/>
                <w:szCs w:val="21"/>
                <w:lang w:val="en-US" w:eastAsia="zh-CN" w:bidi="ar-SA"/>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776B1BBA">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693DA6BF">
            <w:pPr>
              <w:keepNext w:val="0"/>
              <w:keepLines w:val="0"/>
              <w:widowControl/>
              <w:suppressLineNumbers w:val="0"/>
              <w:spacing w:before="0" w:beforeAutospacing="0" w:after="0" w:afterAutospacing="0" w:line="360" w:lineRule="auto"/>
              <w:ind w:left="0" w:right="0" w:firstLine="422" w:firstLineChars="200"/>
              <w:jc w:val="left"/>
              <w:rPr>
                <w:rFonts w:hint="default"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什么是</w:t>
            </w:r>
            <w:r>
              <w:rPr>
                <w:rFonts w:hint="default" w:ascii="宋体" w:hAnsi="宋体" w:eastAsia="宋体" w:cs="宋体"/>
                <w:b/>
                <w:bCs w:val="0"/>
                <w:kern w:val="2"/>
                <w:sz w:val="21"/>
                <w:szCs w:val="21"/>
                <w:lang w:val="en-US" w:eastAsia="zh-CN" w:bidi="ar"/>
              </w:rPr>
              <w:t>医疗机构的评审制度</w:t>
            </w:r>
            <w:r>
              <w:rPr>
                <w:rFonts w:hint="eastAsia" w:ascii="宋体" w:hAnsi="宋体" w:eastAsia="宋体" w:cs="宋体"/>
                <w:b/>
                <w:bCs w:val="0"/>
                <w:kern w:val="2"/>
                <w:sz w:val="21"/>
                <w:szCs w:val="21"/>
                <w:lang w:val="en-US" w:eastAsia="zh-CN" w:bidi="ar"/>
              </w:rPr>
              <w:t>？</w:t>
            </w:r>
          </w:p>
          <w:p w14:paraId="6259588D">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p>
        </w:tc>
        <w:tc>
          <w:tcPr>
            <w:tcW w:w="1366" w:type="dxa"/>
            <w:tcBorders>
              <w:tl2br w:val="nil"/>
              <w:tr2bl w:val="nil"/>
            </w:tcBorders>
            <w:vAlign w:val="center"/>
          </w:tcPr>
          <w:p w14:paraId="033BE4C5">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1"/>
                <w:szCs w:val="21"/>
                <w:lang w:val="en-US" w:eastAsia="zh-CN" w:bidi="ar-SA"/>
              </w:rPr>
            </w:pPr>
            <w:r>
              <w:rPr>
                <w:rFonts w:hint="eastAsia" w:ascii="宋体" w:hAnsi="宋体" w:eastAsia="宋体" w:cs="宋体"/>
                <w:kern w:val="2"/>
                <w:sz w:val="21"/>
                <w:szCs w:val="21"/>
                <w:lang w:val="en-US" w:eastAsia="zh-CN" w:bidi="ar"/>
              </w:rPr>
              <w:t>通过课后练习，使学生巩固所学新知识</w:t>
            </w:r>
          </w:p>
        </w:tc>
      </w:tr>
      <w:tr w14:paraId="1915F29A">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4D90718C">
            <w:pPr>
              <w:keepNext w:val="0"/>
              <w:keepLines w:val="0"/>
              <w:suppressLineNumbers w:val="0"/>
              <w:spacing w:before="0" w:beforeAutospacing="0" w:after="0" w:afterAutospacing="0"/>
              <w:ind w:left="0" w:leftChars="0" w:right="0" w:rightChars="0"/>
              <w:jc w:val="center"/>
              <w:rPr>
                <w:rFonts w:hint="eastAsia" w:ascii="微软雅黑" w:hAnsi="微软雅黑" w:eastAsia="微软雅黑" w:cs="微软雅黑"/>
                <w:b/>
                <w:bCs w:val="0"/>
                <w:kern w:val="2"/>
                <w:sz w:val="24"/>
                <w:szCs w:val="24"/>
                <w:lang w:val="en-US" w:eastAsia="zh-CN" w:bidi="ar"/>
              </w:rPr>
            </w:pPr>
            <w:r>
              <w:rPr>
                <w:rFonts w:hint="eastAsia" w:ascii="微软雅黑" w:hAnsi="微软雅黑" w:eastAsia="微软雅黑"/>
                <w:b/>
                <w:sz w:val="24"/>
                <w:szCs w:val="24"/>
                <w:lang w:eastAsia="zh-CN"/>
              </w:rPr>
              <w:t>知识讲解</w:t>
            </w:r>
            <w:r>
              <w:rPr>
                <w:rFonts w:hint="default" w:ascii="Times New Roman" w:hAnsi="Times New Roman"/>
                <w:szCs w:val="24"/>
              </w:rPr>
              <w:t>（45</w:t>
            </w:r>
            <w:r>
              <w:rPr>
                <w:rFonts w:hint="eastAsia" w:ascii="Times New Roman" w:hAnsi="Times New Roman"/>
                <w:szCs w:val="24"/>
              </w:rPr>
              <w:t>min</w:t>
            </w:r>
            <w:r>
              <w:rPr>
                <w:rFonts w:hint="default" w:ascii="Times New Roman" w:hAnsi="Times New Roman"/>
                <w:szCs w:val="24"/>
              </w:rPr>
              <w:t>）</w:t>
            </w:r>
          </w:p>
        </w:tc>
        <w:tc>
          <w:tcPr>
            <w:tcW w:w="5807" w:type="dxa"/>
            <w:tcBorders>
              <w:tl2br w:val="nil"/>
              <w:tr2bl w:val="nil"/>
            </w:tcBorders>
            <w:vAlign w:val="center"/>
          </w:tcPr>
          <w:p w14:paraId="1A27DEC3">
            <w:pPr>
              <w:keepNext w:val="0"/>
              <w:keepLines w:val="0"/>
              <w:widowControl/>
              <w:suppressLineNumbers w:val="0"/>
              <w:spacing w:before="0" w:beforeAutospacing="0" w:after="0" w:afterAutospacing="0" w:line="360" w:lineRule="auto"/>
              <w:ind w:left="0" w:right="0"/>
              <w:jc w:val="left"/>
              <w:rPr>
                <w:rFonts w:hint="eastAsia" w:ascii="宋体" w:hAnsi="宋体" w:eastAsia="宋体" w:cs="宋体"/>
                <w:b w:val="0"/>
                <w:bCs/>
                <w:color w:val="C00000"/>
                <w:kern w:val="2"/>
                <w:sz w:val="21"/>
                <w:szCs w:val="21"/>
                <w:lang w:val="en-US" w:eastAsia="zh-CN" w:bidi="ar"/>
              </w:rPr>
            </w:pPr>
            <w:r>
              <w:rPr>
                <w:rFonts w:hint="eastAsia" w:ascii="宋体" w:hAnsi="宋体" w:eastAsia="宋体" w:cs="宋体"/>
                <w:b w:val="0"/>
                <w:bCs/>
                <w:color w:val="C00000"/>
                <w:kern w:val="2"/>
                <w:sz w:val="21"/>
                <w:szCs w:val="21"/>
                <w:lang w:val="en-US" w:eastAsia="zh-CN" w:bidi="ar"/>
              </w:rPr>
              <w:t>【教师】展示中外合资、合作医疗机构管理法规</w:t>
            </w:r>
          </w:p>
          <w:p w14:paraId="6A91C93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为进一步适应改革开放的需要，加强对中外合资、合作医疗机构的管理，促进我国医疗卫生事业的健康发展，根据《中华人民共和国中外合资经营企业法》《中华人民共和国中外合作经营企业法》《医疗机构管理条例》等国家有关法律、法规，2000 年 5 月15 日，原卫生部、对外贸易经济部发布了《中外合资、合作医疗机构管理暂行办法》，于 2000 年 7 月 1 日实施；并于 2007 年 12 月 30 日颁布了《〈中外合资、合作医疗机构管理暂行办法〉的补充规定》，于 2008 年１月 1 日实施。以上法规特别指出，中外合资、合作医疗机构必须遵守国家有关法律、法规和规章。中外合资、合作医疗机构的正当经营活动及合资、合作双方的合法权益受中国法律保护。 </w:t>
            </w:r>
          </w:p>
          <w:p w14:paraId="33C49EE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一、中外合资、合作医疗机构的管理机构 </w:t>
            </w:r>
          </w:p>
          <w:p w14:paraId="5A306ED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原卫生部和对外贸易经济合作部在各自的职责范围内负责全国中外合资、合作医疗机构管理工作。县级以上地方人民政府卫生行政部门（含中医 / 药主管部门）和外经贸行政部门在各自职责范围内负责本行政区域内中外合资、合作医疗机构的日常监督管理工作。 </w:t>
            </w:r>
          </w:p>
          <w:p w14:paraId="39F0BE25">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二、中外合资、合作医疗机构的设置条件</w:t>
            </w:r>
            <w:r>
              <w:rPr>
                <w:rFonts w:hint="eastAsia" w:asciiTheme="minorEastAsia" w:hAnsiTheme="minorEastAsia" w:eastAsiaTheme="minorEastAsia" w:cstheme="minorEastAsia"/>
                <w:color w:val="231F20"/>
                <w:kern w:val="0"/>
                <w:sz w:val="21"/>
                <w:szCs w:val="21"/>
                <w:lang w:val="en-US" w:eastAsia="zh-CN" w:bidi="ar"/>
              </w:rPr>
              <w:t xml:space="preserve"> </w:t>
            </w:r>
          </w:p>
          <w:p w14:paraId="4FFB8CB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中外合资、合作医疗机构的设置与发展必须符合当地区域卫生规划和医疗机构设置规划，并执行原卫生部制定的《医疗机构基本标准》。申请设立中外合资、合作医疗机构的中外双方应是能够独立承担民事责任的法人。合资、合作的中外双方应当具有直接或间接从事医疗卫生投资与管理的经验，并符合下列要求之一：①能够提供国际先进的医疗机构管理经验、管理模式和服务模式；②能够提供具有国际领先水平的医学技术和设备；③可以补充或改善当地在医疗服务能力、医疗技术、资金和医疗设施方面的不足。 </w:t>
            </w:r>
          </w:p>
          <w:p w14:paraId="6F6ACE2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设立的中外合资、合作医疗机构应当符合以下条件：①必须是独立的法人；②投资总额不得低于 2000 万人民币；③合资、合作中中方在中外合资、合作医疗机构中所占的股权比例或权益不得低于 30%；④合资、合作期限不超过 20 年；⑤省级以上卫生行政部门规定的其他条件。 </w:t>
            </w:r>
          </w:p>
          <w:p w14:paraId="2CC4559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合资、合作中中方以国有资产参与投资（包括作价出资或作为合作条件），应当经相应主管部门批准，并按国有资产评估管理有关规定，由国有资产管理部门确认的评估机构对拟投入的国有资产进行评估。经省级以上国有资产管理部门确认的评估结果，可以作为拟投入的国有资产的作价依据。 </w:t>
            </w:r>
          </w:p>
          <w:p w14:paraId="626BF9F9">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三、中外合资、合作医疗机构设置审批与登记</w:t>
            </w:r>
            <w:r>
              <w:rPr>
                <w:rFonts w:hint="eastAsia" w:asciiTheme="minorEastAsia" w:hAnsiTheme="minorEastAsia" w:eastAsiaTheme="minorEastAsia" w:cstheme="minorEastAsia"/>
                <w:color w:val="231F20"/>
                <w:kern w:val="0"/>
                <w:sz w:val="21"/>
                <w:szCs w:val="21"/>
                <w:lang w:val="en-US" w:eastAsia="zh-CN" w:bidi="ar"/>
              </w:rPr>
              <w:t xml:space="preserve"> </w:t>
            </w:r>
          </w:p>
          <w:p w14:paraId="6AA4E0FB">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（一）审批与登记 </w:t>
            </w:r>
          </w:p>
          <w:p w14:paraId="4ECC0BC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设置中外合资、合作医疗机构，应先向所在地设区的市级卫生行政部门提出申请，并提交以下材料：①设置医疗机构申请书；②合资、合作双方法人代表签署的项目建议书及中外合资、合作医疗机构设置的可行性研究报告；③合资、合作双方各自的注册登记证明（复印件）、法定代表人身份证明（复印件）和银行资信证明；④国有资产管理部门对拟投入国有资产的评估报告确认文件。设区的市级卫生行政部门对申请人提交的材料进行初审，并根据区域卫生规划和医疗机构设置规划提出初审意见，并与申请材料、当地区域卫生规划和医疗机构设置规划一起报所在地省级卫生行政部门审核。 </w:t>
            </w:r>
          </w:p>
          <w:p w14:paraId="4F0E28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省级卫生行政部门对申请材料及设区的市级卫生行政部门初审意见进行审核后报原卫生部审批。 </w:t>
            </w:r>
          </w:p>
          <w:p w14:paraId="0CAC47F8">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报请审批，需由省级卫生行政部门向原卫生部提交以下材料：①申请人设置申请材料；②设置地设区的市级人民政府批准发布实施的《医疗机构设置规划》及设置地设区的市级和省级卫生行政部门关于拟设置中外合资、合作医疗机构是否符合当地区域卫生规划和医疗机构设置规划的审核意见；③省级卫生行政管理部门关于设置该中外合资、合作医疗机构的审核意见，其中包括对拟设置中外合资、合作医疗机构的名称、选址、 </w:t>
            </w:r>
          </w:p>
          <w:p w14:paraId="61E29B97">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规模（床位、牙椅），诊疗科目和经营期限等的意见；④法律、法规和原卫生部规定的其他材料。原卫生部应当自受理之日起 45 个工作日内，做出批准或者不批准的书面决定。 </w:t>
            </w:r>
          </w:p>
          <w:p w14:paraId="364ED78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申请设置中外合资、合作中医医疗机构（含中外合资、合作中西医结合医疗机构和中外合资、合作民族医医疗机构）的，按要求经所在地设区的市级卫生行政部门初审和所在地的省级卫生行政部门审核，报国家中医药管理局审核后转报原卫生部审批。 </w:t>
            </w:r>
          </w:p>
          <w:p w14:paraId="3E4833D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申请人在获得原卫生部设置许可后，按照有关法律、法规向外经贸部提出申请，并提交以下材料：①设置申请申报材料及批准文件；②由中外合资、合作各方的法定代表人或其授权的代表签署的中外合资、合作医疗机构的合同、章程；③拟设立中外合资、合作医疗机构董事会成员名单及合资、合作各方董事委派书；④工商行政管理部门出具的机构名称预先核准通知书；⑤法律、法规和外经贸部规定的其他材料。 </w:t>
            </w:r>
          </w:p>
          <w:p w14:paraId="3C7094BC">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对外经济贸易部应当自受理申请之日起 45 个工作日内，做出批准或者不批准的书面决定；予以批准的，发给《外商投资企业批准证书》。获得批准设立的中外合资、合作医疗机构，应自收到外经贸部颁发的《外商投资企业批准证书》之日起一个月内，凭此证书到国家工商行政管理部门办理注册登记手续。 中外合资、合作医疗机构不得设置分支机构。 </w:t>
            </w:r>
          </w:p>
          <w:p w14:paraId="30AC3C9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（二）变更、延期和终止</w:t>
            </w:r>
            <w:r>
              <w:rPr>
                <w:rFonts w:hint="eastAsia" w:asciiTheme="minorEastAsia" w:hAnsiTheme="minorEastAsia" w:eastAsiaTheme="minorEastAsia" w:cstheme="minorEastAsia"/>
                <w:color w:val="231F20"/>
                <w:kern w:val="0"/>
                <w:sz w:val="21"/>
                <w:szCs w:val="21"/>
                <w:lang w:val="en-US" w:eastAsia="zh-CN" w:bidi="ar"/>
              </w:rPr>
              <w:t xml:space="preserve"> </w:t>
            </w:r>
          </w:p>
          <w:p w14:paraId="52C923CA">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（1）已设立的中外合资、合作医疗机构变更机构规模（床位、牙椅），诊疗科目，合资、合作期限等，应按上述规定的审批程序，经原审批机关审批后，到原登记机关办理相应的变更登记手续。 </w:t>
            </w:r>
          </w:p>
          <w:p w14:paraId="5FF5AE2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（2）中外合资、合作医疗机构涉及合同、章程有关条款的变更，由所在地外经贸部 门转报外经贸部批准。 </w:t>
            </w:r>
          </w:p>
          <w:p w14:paraId="5B903B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（3）中外合资、合作医疗机构合资、合作期 20 年届满，因特殊情况确需延长合资、合作期限，合资、合作双方可以申请延长合资、合作期限，并应当在合资、合作期限届满的 90 天前申请延期。延期申请经省级卫生行政部门和外经贸行政部门审核同意后，报请卫生部和外经贸部审批。审批机关自接到申请之日起 45 个工作日内，做出批准或者不予批准书面决定。 </w:t>
            </w:r>
          </w:p>
          <w:p w14:paraId="28820BF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（4）经批准设置的中外合资、合作医疗机构，应当在审批机关规定的期限内办理完有关登记注册手续；逾期未能完成的，经审批机关核准后，撤销该合资、合作项目。 </w:t>
            </w:r>
          </w:p>
          <w:p w14:paraId="369566B1">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b/>
                <w:bCs/>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 xml:space="preserve">四、中外合资、合作医疗机构执业 </w:t>
            </w:r>
          </w:p>
          <w:p w14:paraId="1E02568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中外合资、合作医疗机构作为独立法人实体，自负盈亏，独立核算，独立承担民事责任。 </w:t>
            </w:r>
          </w:p>
          <w:p w14:paraId="6CE2888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color w:val="231F20"/>
                <w:kern w:val="0"/>
                <w:sz w:val="21"/>
                <w:szCs w:val="21"/>
                <w:lang w:val="en-US" w:eastAsia="zh-CN" w:bidi="ar"/>
              </w:rPr>
              <w:t xml:space="preserve">中外合资、合作医疗机构在执业过程中，必须遵守下列规则：①执行《医疗机构管理条例》和《医疗机构管理条例实施细则》中关于医疗机构执业的规定；②必须执行医疗技术准入规范和临床诊疗技术规范；③遵守新技术、新设备及大型医用设备临床应用的有关规定；④发生医疗事故，依照国家有关法律、法规处理；⑤聘请外籍医师、护士，按照《中华人民共和国执业医师法》和《中华人民共和国护士管理办法》等有关规定办理；⑥发生重大灾害、事故、疾病流行或者其他意外情况时，中外合资、合作医疗机构及其卫生技术人员要服从卫生行政部门的调遣；⑦发布本机构医疗广告，按照《中华人民共和国广告法》《医疗广告管理办法》办理；⑧中外合资、合作医疗机构的医疗收费价格标准按照国家有关规定执行；⑨中外合资、合作医疗机构的税收政策按照国家有关规定执行。 </w:t>
            </w:r>
          </w:p>
          <w:p w14:paraId="70B03AF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2" w:firstLineChars="200"/>
              <w:jc w:val="left"/>
              <w:textAlignment w:val="auto"/>
              <w:rPr>
                <w:rFonts w:hint="eastAsia" w:asciiTheme="minorEastAsia" w:hAnsiTheme="minorEastAsia" w:eastAsiaTheme="minorEastAsia" w:cstheme="minorEastAsia"/>
                <w:color w:val="231F20"/>
                <w:kern w:val="0"/>
                <w:sz w:val="21"/>
                <w:szCs w:val="21"/>
                <w:lang w:val="en-US" w:eastAsia="zh-CN" w:bidi="ar"/>
              </w:rPr>
            </w:pPr>
            <w:r>
              <w:rPr>
                <w:rFonts w:hint="eastAsia" w:asciiTheme="minorEastAsia" w:hAnsiTheme="minorEastAsia" w:eastAsiaTheme="minorEastAsia" w:cstheme="minorEastAsia"/>
                <w:b/>
                <w:bCs/>
                <w:color w:val="231F20"/>
                <w:kern w:val="0"/>
                <w:sz w:val="21"/>
                <w:szCs w:val="21"/>
                <w:lang w:val="en-US" w:eastAsia="zh-CN" w:bidi="ar"/>
              </w:rPr>
              <w:t>五、中外合资、合作医疗机构的监督管理</w:t>
            </w:r>
            <w:r>
              <w:rPr>
                <w:rFonts w:hint="eastAsia" w:asciiTheme="minorEastAsia" w:hAnsiTheme="minorEastAsia" w:eastAsiaTheme="minorEastAsia" w:cstheme="minorEastAsia"/>
                <w:color w:val="231F20"/>
                <w:kern w:val="0"/>
                <w:sz w:val="21"/>
                <w:szCs w:val="21"/>
                <w:lang w:val="en-US" w:eastAsia="zh-CN" w:bidi="ar"/>
              </w:rPr>
              <w:t xml:space="preserve"> </w:t>
            </w:r>
          </w:p>
          <w:p w14:paraId="37C8B7B0">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jc w:val="left"/>
              <w:textAlignment w:val="auto"/>
              <w:rPr>
                <w:rFonts w:hint="eastAsia" w:ascii="Times New Roman" w:hAnsi="Times New Roman" w:eastAsia="宋体" w:cs="Times New Roman"/>
                <w:b/>
                <w:bCs w:val="0"/>
                <w:color w:val="C00000"/>
                <w:kern w:val="2"/>
                <w:sz w:val="21"/>
                <w:szCs w:val="21"/>
              </w:rPr>
            </w:pPr>
            <w:r>
              <w:rPr>
                <w:rFonts w:hint="eastAsia" w:asciiTheme="minorEastAsia" w:hAnsiTheme="minorEastAsia" w:eastAsiaTheme="minorEastAsia" w:cstheme="minorEastAsia"/>
                <w:color w:val="231F20"/>
                <w:kern w:val="0"/>
                <w:sz w:val="21"/>
                <w:szCs w:val="21"/>
                <w:lang w:val="en-US" w:eastAsia="zh-CN" w:bidi="ar"/>
              </w:rPr>
              <w:t>县级以上地方各级卫生行政部门负责本行政区域内中外合资、合作医疗机构的日常监督管理工作。中外合资、合作医疗机构应当按照国家对外商投资企业的有关规定，接受国家有关部门的监督。中外合资、合作医疗机构违反国家有关法律、法规和规章，由有关主管部门依法查处。中外各方未经原卫生部和外经贸部批准，成立中外合资、合作医疗机构并开展医疗活动或以合同方式经营诊疗项目的，视同非法行医，按《医疗机构管理条例》和《医疗机构管理条例实施细则》及有关规定进行处罚。对于违法的中外合资、合作医疗机构，县级以上卫生行政部门和对外经济贸易部门可依据相关法律、法规和规章予以处罚。地方卫生行政部门和地方对外经济贸易行政部门违反规定，擅自批准中外合资、合作医疗机构的设置和变更的，依法追究有关负责人的责任。</w:t>
            </w:r>
          </w:p>
          <w:p w14:paraId="3D8079F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leftChars="0" w:right="0" w:rightChars="0"/>
              <w:jc w:val="both"/>
              <w:textAlignment w:val="auto"/>
              <w:rPr>
                <w:rFonts w:hint="eastAsia" w:ascii="Times New Roman" w:hAnsi="Times New Roman" w:eastAsia="宋体" w:cs="Times New Roman"/>
                <w:b/>
                <w:bCs w:val="0"/>
                <w:kern w:val="2"/>
                <w:sz w:val="21"/>
                <w:szCs w:val="21"/>
                <w:lang w:val="en-US" w:eastAsia="zh-CN" w:bidi="ar-SA"/>
              </w:rPr>
            </w:pPr>
            <w:r>
              <w:rPr>
                <w:rFonts w:hint="eastAsia" w:ascii="宋体" w:hAnsi="宋体" w:eastAsia="宋体" w:cs="宋体"/>
                <w:b/>
                <w:bCs/>
                <w:color w:val="538135"/>
                <w:kern w:val="2"/>
                <w:sz w:val="21"/>
                <w:szCs w:val="21"/>
                <w:lang w:val="en-US" w:eastAsia="zh-CN" w:bidi="ar"/>
              </w:rPr>
              <w:t>【学生】</w:t>
            </w:r>
            <w:r>
              <w:rPr>
                <w:rFonts w:hint="eastAsia" w:ascii="宋体" w:hAnsi="宋体" w:eastAsia="宋体" w:cs="宋体"/>
                <w:color w:val="538135"/>
                <w:kern w:val="2"/>
                <w:sz w:val="21"/>
                <w:szCs w:val="21"/>
                <w:lang w:val="en-US" w:eastAsia="zh-CN" w:bidi="ar"/>
              </w:rPr>
              <w:t>思考、讨论。</w:t>
            </w:r>
          </w:p>
        </w:tc>
        <w:tc>
          <w:tcPr>
            <w:tcW w:w="1366" w:type="dxa"/>
            <w:tcBorders>
              <w:tl2br w:val="nil"/>
              <w:tr2bl w:val="nil"/>
            </w:tcBorders>
            <w:vAlign w:val="center"/>
          </w:tcPr>
          <w:p w14:paraId="7A9E840F">
            <w:pPr>
              <w:keepNext w:val="0"/>
              <w:keepLines w:val="0"/>
              <w:suppressLineNumbers w:val="0"/>
              <w:spacing w:before="0" w:beforeAutospacing="0" w:after="0" w:afterAutospacing="0" w:line="360" w:lineRule="auto"/>
              <w:ind w:left="0" w:leftChars="0" w:right="0" w:rightChars="0"/>
              <w:jc w:val="left"/>
              <w:rPr>
                <w:rFonts w:hint="eastAsia" w:ascii="宋体" w:hAnsi="宋体" w:eastAsia="宋体" w:cs="宋体"/>
                <w:kern w:val="2"/>
                <w:sz w:val="21"/>
                <w:szCs w:val="21"/>
                <w:lang w:val="en-US" w:eastAsia="zh-CN" w:bidi="ar"/>
              </w:rPr>
            </w:pPr>
            <w:r>
              <w:rPr>
                <w:rFonts w:hint="eastAsia" w:ascii="Times New Roman" w:hAnsi="Times New Roman"/>
                <w:b/>
                <w:szCs w:val="24"/>
              </w:rPr>
              <w:t>教师通过</w:t>
            </w:r>
            <w:r>
              <w:rPr>
                <w:rFonts w:hint="eastAsia" w:ascii="Times New Roman" w:hAnsi="Times New Roman"/>
                <w:b/>
                <w:szCs w:val="24"/>
                <w:lang w:eastAsia="zh-CN"/>
              </w:rPr>
              <w:t>文章展示</w:t>
            </w:r>
            <w:r>
              <w:rPr>
                <w:rFonts w:hint="eastAsia" w:ascii="Times New Roman" w:hAnsi="Times New Roman"/>
                <w:b/>
                <w:szCs w:val="24"/>
              </w:rPr>
              <w:t>，</w:t>
            </w:r>
            <w:r>
              <w:rPr>
                <w:rFonts w:hint="eastAsia" w:ascii="Times New Roman" w:hAnsi="Times New Roman"/>
                <w:b/>
                <w:szCs w:val="24"/>
                <w:lang w:eastAsia="zh-CN"/>
              </w:rPr>
              <w:t>让</w:t>
            </w:r>
            <w:r>
              <w:rPr>
                <w:rFonts w:hint="eastAsia" w:ascii="Times New Roman" w:hAnsi="Times New Roman"/>
                <w:b/>
                <w:szCs w:val="24"/>
              </w:rPr>
              <w:t>学生了解</w:t>
            </w:r>
            <w:r>
              <w:rPr>
                <w:rFonts w:hint="eastAsia" w:ascii="Times New Roman" w:hAnsi="Times New Roman"/>
                <w:b/>
                <w:szCs w:val="24"/>
                <w:lang w:val="en-US" w:eastAsia="zh-CN"/>
              </w:rPr>
              <w:t>违中外合资、合作医疗机构管理法规</w:t>
            </w:r>
            <w:r>
              <w:rPr>
                <w:rFonts w:hint="eastAsia" w:ascii="Times New Roman" w:hAnsi="Times New Roman"/>
                <w:b/>
                <w:szCs w:val="24"/>
              </w:rPr>
              <w:t>的基本理论知识。</w:t>
            </w:r>
          </w:p>
        </w:tc>
      </w:tr>
      <w:tr w14:paraId="424261D1">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3007B9EE">
            <w:pPr>
              <w:keepNext w:val="0"/>
              <w:keepLines w:val="0"/>
              <w:widowControl w:val="0"/>
              <w:suppressLineNumbers w:val="0"/>
              <w:spacing w:before="0" w:beforeAutospacing="0" w:after="0" w:afterAutospacing="0"/>
              <w:ind w:left="0" w:right="0"/>
              <w:jc w:val="center"/>
              <w:rPr>
                <w:rFonts w:hint="eastAsia" w:ascii="微软雅黑" w:hAnsi="微软雅黑" w:eastAsia="微软雅黑" w:cs="Times New Roman"/>
                <w:b/>
                <w:bCs w:val="0"/>
                <w:kern w:val="2"/>
                <w:sz w:val="24"/>
                <w:szCs w:val="24"/>
              </w:rPr>
            </w:pPr>
            <w:r>
              <w:rPr>
                <w:rFonts w:hint="eastAsia" w:ascii="微软雅黑" w:hAnsi="微软雅黑" w:eastAsia="微软雅黑" w:cs="微软雅黑"/>
                <w:b/>
                <w:bCs w:val="0"/>
                <w:kern w:val="2"/>
                <w:sz w:val="24"/>
                <w:szCs w:val="24"/>
                <w:lang w:val="en-US" w:eastAsia="zh-CN" w:bidi="ar"/>
              </w:rPr>
              <w:t>课堂小结</w:t>
            </w:r>
          </w:p>
          <w:p w14:paraId="092A911B">
            <w:pPr>
              <w:keepNext w:val="0"/>
              <w:keepLines w:val="0"/>
              <w:widowControl w:val="0"/>
              <w:suppressLineNumbers w:val="0"/>
              <w:spacing w:before="0" w:beforeAutospacing="0" w:after="0" w:afterAutospacing="0"/>
              <w:ind w:left="0" w:leftChars="0" w:right="0" w:rightChars="0"/>
              <w:jc w:val="center"/>
              <w:rPr>
                <w:rFonts w:hint="eastAsia" w:ascii="微软雅黑" w:hAnsi="微软雅黑" w:eastAsia="微软雅黑" w:cs="微软雅黑"/>
                <w:b/>
                <w:bCs w:val="0"/>
                <w:kern w:val="2"/>
                <w:sz w:val="24"/>
                <w:szCs w:val="24"/>
                <w:lang w:val="en-US" w:eastAsia="zh-CN" w:bidi="ar"/>
              </w:rPr>
            </w:pP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3min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6071505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回顾和总结本节课的知识点。</w:t>
            </w:r>
          </w:p>
          <w:p w14:paraId="2F74AAB3">
            <w:pPr>
              <w:keepNext w:val="0"/>
              <w:keepLines w:val="0"/>
              <w:widowControl/>
              <w:suppressLineNumbers w:val="0"/>
              <w:spacing w:before="0" w:beforeAutospacing="0" w:after="0" w:afterAutospacing="0" w:line="360" w:lineRule="auto"/>
              <w:ind w:left="0" w:right="0" w:firstLine="422" w:firstLineChars="200"/>
              <w:jc w:val="left"/>
              <w:rPr>
                <w:rFonts w:hint="eastAsia"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这节课我们一起学习了中外合资、合作医疗机构管理法规，了解了县级以上地方各级卫生行政部门负责本行政区域内中外合资、合作医疗机构的日常</w:t>
            </w:r>
            <w:r>
              <w:rPr>
                <w:rFonts w:hint="default" w:ascii="宋体" w:hAnsi="宋体" w:eastAsia="宋体" w:cs="宋体"/>
                <w:b/>
                <w:bCs w:val="0"/>
                <w:kern w:val="2"/>
                <w:sz w:val="21"/>
                <w:szCs w:val="21"/>
                <w:lang w:val="en-US" w:eastAsia="zh-CN" w:bidi="ar"/>
              </w:rPr>
              <w:t>监督管理工作。</w:t>
            </w:r>
          </w:p>
          <w:p w14:paraId="5A49C3CD">
            <w:pPr>
              <w:keepNext w:val="0"/>
              <w:keepLines w:val="0"/>
              <w:widowControl/>
              <w:suppressLineNumbers w:val="0"/>
              <w:spacing w:before="0" w:beforeAutospacing="0" w:after="0" w:afterAutospacing="0" w:line="360" w:lineRule="auto"/>
              <w:ind w:left="0" w:right="0" w:firstLine="422" w:firstLineChars="200"/>
              <w:jc w:val="left"/>
              <w:rPr>
                <w:rFonts w:hint="eastAsia" w:ascii="Times New Roman" w:hAnsi="Times New Roman" w:eastAsia="宋体" w:cs="Times New Roman"/>
                <w:b/>
                <w:bCs w:val="0"/>
                <w:kern w:val="2"/>
                <w:sz w:val="21"/>
                <w:szCs w:val="21"/>
                <w:lang w:val="en-US" w:eastAsia="zh-CN" w:bidi="ar-SA"/>
              </w:rPr>
            </w:pPr>
          </w:p>
        </w:tc>
        <w:tc>
          <w:tcPr>
            <w:tcW w:w="1366" w:type="dxa"/>
            <w:tcBorders>
              <w:tl2br w:val="nil"/>
              <w:tr2bl w:val="nil"/>
            </w:tcBorders>
            <w:vAlign w:val="center"/>
          </w:tcPr>
          <w:p w14:paraId="27432230">
            <w:pPr>
              <w:keepNext w:val="0"/>
              <w:keepLines w:val="0"/>
              <w:widowControl w:val="0"/>
              <w:suppressLineNumbers w:val="0"/>
              <w:spacing w:before="0" w:beforeAutospacing="0" w:after="0" w:afterAutospacing="0" w:line="360" w:lineRule="auto"/>
              <w:ind w:left="0" w:leftChars="0" w:right="0" w:rightChars="0"/>
              <w:jc w:val="both"/>
              <w:rPr>
                <w:rFonts w:hint="eastAsia" w:ascii="宋体" w:hAnsi="宋体" w:eastAsia="宋体" w:cs="宋体"/>
                <w:kern w:val="2"/>
                <w:sz w:val="21"/>
                <w:szCs w:val="21"/>
                <w:lang w:val="en-US" w:eastAsia="zh-CN" w:bidi="ar"/>
              </w:rPr>
            </w:pPr>
            <w:r>
              <w:rPr>
                <w:rFonts w:hint="eastAsia" w:ascii="宋体" w:hAnsi="宋体" w:eastAsia="宋体" w:cs="宋体"/>
                <w:kern w:val="2"/>
                <w:sz w:val="21"/>
                <w:szCs w:val="21"/>
                <w:lang w:val="en-US" w:eastAsia="zh-CN" w:bidi="ar"/>
              </w:rPr>
              <w:t>通过对所学知识的回顾，培养学生的归纳总结能力</w:t>
            </w:r>
          </w:p>
        </w:tc>
      </w:tr>
      <w:tr w14:paraId="4A369B8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1A381976">
            <w:pPr>
              <w:keepNext w:val="0"/>
              <w:keepLines w:val="0"/>
              <w:widowControl w:val="0"/>
              <w:suppressLineNumbers w:val="0"/>
              <w:spacing w:before="0" w:beforeAutospacing="0" w:after="0" w:afterAutospacing="0"/>
              <w:ind w:left="0" w:leftChars="0" w:right="0" w:rightChars="0"/>
              <w:jc w:val="center"/>
              <w:rPr>
                <w:rFonts w:hint="eastAsia" w:ascii="微软雅黑" w:hAnsi="微软雅黑" w:eastAsia="微软雅黑" w:cs="微软雅黑"/>
                <w:b/>
                <w:bCs w:val="0"/>
                <w:kern w:val="2"/>
                <w:sz w:val="24"/>
                <w:szCs w:val="24"/>
                <w:lang w:val="en-US" w:eastAsia="zh-CN" w:bidi="ar"/>
              </w:rPr>
            </w:pPr>
            <w:r>
              <w:rPr>
                <w:rFonts w:hint="eastAsia" w:ascii="微软雅黑" w:hAnsi="微软雅黑" w:eastAsia="微软雅黑" w:cs="微软雅黑"/>
                <w:b/>
                <w:bCs w:val="0"/>
                <w:kern w:val="2"/>
                <w:sz w:val="24"/>
                <w:szCs w:val="24"/>
                <w:lang w:val="en-US" w:eastAsia="zh-CN" w:bidi="ar"/>
              </w:rPr>
              <w:t>作业布置</w:t>
            </w:r>
            <w:r>
              <w:rPr>
                <w:rFonts w:hint="eastAsia" w:ascii="宋体" w:hAnsi="宋体" w:eastAsia="宋体" w:cs="宋体"/>
                <w:kern w:val="2"/>
                <w:sz w:val="21"/>
                <w:szCs w:val="21"/>
                <w:lang w:val="en-US" w:eastAsia="zh-CN" w:bidi="ar"/>
              </w:rPr>
              <w:t>（</w:t>
            </w:r>
            <w:r>
              <w:rPr>
                <w:rFonts w:hint="default" w:ascii="Times New Roman" w:hAnsi="Times New Roman" w:eastAsia="宋体" w:cs="Times New Roman"/>
                <w:kern w:val="2"/>
                <w:sz w:val="21"/>
                <w:szCs w:val="21"/>
                <w:lang w:val="en-US" w:eastAsia="zh-CN" w:bidi="ar"/>
              </w:rPr>
              <w:t>2min</w:t>
            </w:r>
            <w:r>
              <w:rPr>
                <w:rFonts w:hint="eastAsia" w:ascii="宋体" w:hAnsi="宋体" w:eastAsia="宋体" w:cs="宋体"/>
                <w:kern w:val="2"/>
                <w:sz w:val="21"/>
                <w:szCs w:val="21"/>
                <w:lang w:val="en-US" w:eastAsia="zh-CN" w:bidi="ar"/>
              </w:rPr>
              <w:t>）</w:t>
            </w:r>
          </w:p>
        </w:tc>
        <w:tc>
          <w:tcPr>
            <w:tcW w:w="5807" w:type="dxa"/>
            <w:tcBorders>
              <w:tl2br w:val="nil"/>
              <w:tr2bl w:val="nil"/>
            </w:tcBorders>
            <w:vAlign w:val="center"/>
          </w:tcPr>
          <w:p w14:paraId="248860C1">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1"/>
                <w:szCs w:val="21"/>
              </w:rPr>
            </w:pPr>
            <w:r>
              <w:rPr>
                <w:rFonts w:hint="eastAsia" w:ascii="宋体" w:hAnsi="宋体" w:eastAsia="宋体" w:cs="宋体"/>
                <w:kern w:val="2"/>
                <w:sz w:val="21"/>
                <w:szCs w:val="21"/>
                <w:lang w:val="en-US" w:eastAsia="zh-CN" w:bidi="ar"/>
              </w:rPr>
              <w:t>【</w:t>
            </w:r>
            <w:r>
              <w:rPr>
                <w:rFonts w:hint="eastAsia" w:ascii="宋体" w:hAnsi="宋体" w:eastAsia="宋体" w:cs="宋体"/>
                <w:b/>
                <w:bCs w:val="0"/>
                <w:kern w:val="2"/>
                <w:sz w:val="21"/>
                <w:szCs w:val="21"/>
                <w:lang w:val="en-US" w:eastAsia="zh-CN" w:bidi="ar"/>
              </w:rPr>
              <w:t>教师</w:t>
            </w:r>
            <w:r>
              <w:rPr>
                <w:rFonts w:hint="eastAsia" w:ascii="宋体" w:hAnsi="宋体" w:eastAsia="宋体" w:cs="宋体"/>
                <w:kern w:val="2"/>
                <w:sz w:val="21"/>
                <w:szCs w:val="21"/>
                <w:lang w:val="en-US" w:eastAsia="zh-CN" w:bidi="ar"/>
              </w:rPr>
              <w:t>】</w:t>
            </w:r>
            <w:r>
              <w:rPr>
                <w:rFonts w:hint="eastAsia" w:ascii="宋体" w:hAnsi="宋体" w:eastAsia="宋体" w:cs="宋体"/>
                <w:b/>
                <w:bCs w:val="0"/>
                <w:color w:val="CC0066"/>
                <w:kern w:val="2"/>
                <w:sz w:val="21"/>
                <w:szCs w:val="21"/>
                <w:lang w:val="en-US" w:eastAsia="zh-CN" w:bidi="ar"/>
              </w:rPr>
              <w:t>布置课后作业</w:t>
            </w:r>
          </w:p>
          <w:p w14:paraId="29AD16B2">
            <w:pPr>
              <w:keepNext w:val="0"/>
              <w:keepLines w:val="0"/>
              <w:widowControl/>
              <w:suppressLineNumbers w:val="0"/>
              <w:spacing w:before="0" w:beforeAutospacing="0" w:after="0" w:afterAutospacing="0" w:line="360" w:lineRule="auto"/>
              <w:ind w:left="0" w:right="0"/>
              <w:jc w:val="left"/>
              <w:rPr>
                <w:rFonts w:hint="default" w:ascii="宋体" w:hAnsi="宋体" w:eastAsia="宋体" w:cs="宋体"/>
                <w:b/>
                <w:bCs w:val="0"/>
                <w:kern w:val="2"/>
                <w:sz w:val="21"/>
                <w:szCs w:val="21"/>
                <w:lang w:val="en-US" w:eastAsia="zh-CN" w:bidi="ar"/>
              </w:rPr>
            </w:pPr>
            <w:r>
              <w:rPr>
                <w:rFonts w:hint="eastAsia" w:ascii="宋体" w:hAnsi="宋体" w:eastAsia="宋体" w:cs="宋体"/>
                <w:b/>
                <w:bCs w:val="0"/>
                <w:kern w:val="2"/>
                <w:sz w:val="21"/>
                <w:szCs w:val="21"/>
                <w:lang w:val="en-US" w:eastAsia="zh-CN" w:bidi="ar"/>
              </w:rPr>
              <w:t>简述中外合资、合作医疗机构的法律法规？</w:t>
            </w:r>
          </w:p>
          <w:p w14:paraId="36811A9E">
            <w:pPr>
              <w:keepNext w:val="0"/>
              <w:keepLines w:val="0"/>
              <w:widowControl w:val="0"/>
              <w:suppressLineNumbers w:val="0"/>
              <w:spacing w:before="0" w:beforeAutospacing="0" w:after="0" w:afterAutospacing="0" w:line="360" w:lineRule="auto"/>
              <w:ind w:left="0" w:leftChars="0" w:right="0" w:rightChars="0" w:firstLine="422" w:firstLineChars="200"/>
              <w:jc w:val="both"/>
              <w:rPr>
                <w:rFonts w:hint="eastAsia" w:ascii="Times New Roman" w:hAnsi="Times New Roman" w:eastAsia="宋体" w:cs="Times New Roman"/>
                <w:b/>
                <w:bCs w:val="0"/>
                <w:kern w:val="2"/>
                <w:sz w:val="21"/>
                <w:szCs w:val="21"/>
                <w:lang w:val="en-US" w:eastAsia="zh-CN" w:bidi="ar-SA"/>
              </w:rPr>
            </w:pPr>
          </w:p>
        </w:tc>
        <w:tc>
          <w:tcPr>
            <w:tcW w:w="1366" w:type="dxa"/>
            <w:tcBorders>
              <w:tl2br w:val="nil"/>
              <w:tr2bl w:val="nil"/>
            </w:tcBorders>
            <w:vAlign w:val="center"/>
          </w:tcPr>
          <w:p w14:paraId="333ED1C2">
            <w:pPr>
              <w:keepNext w:val="0"/>
              <w:keepLines w:val="0"/>
              <w:widowControl w:val="0"/>
              <w:suppressLineNumbers w:val="0"/>
              <w:spacing w:before="0" w:beforeAutospacing="0" w:after="0" w:afterAutospacing="0" w:line="360" w:lineRule="auto"/>
              <w:ind w:left="0" w:leftChars="0" w:right="0" w:rightChars="0"/>
              <w:jc w:val="both"/>
              <w:rPr>
                <w:rFonts w:hint="eastAsia" w:ascii="宋体" w:hAnsi="宋体" w:eastAsia="宋体" w:cs="宋体"/>
                <w:kern w:val="2"/>
                <w:sz w:val="21"/>
                <w:szCs w:val="21"/>
                <w:lang w:val="en-US" w:eastAsia="zh-CN" w:bidi="ar"/>
              </w:rPr>
            </w:pPr>
            <w:r>
              <w:rPr>
                <w:rFonts w:hint="eastAsia" w:ascii="宋体" w:hAnsi="宋体" w:eastAsia="宋体" w:cs="宋体"/>
                <w:kern w:val="2"/>
                <w:sz w:val="21"/>
                <w:szCs w:val="21"/>
                <w:lang w:val="en-US" w:eastAsia="zh-CN" w:bidi="ar"/>
              </w:rPr>
              <w:t>通过课后练习，使学生巩固所学新知识</w:t>
            </w:r>
          </w:p>
        </w:tc>
      </w:tr>
      <w:tr w14:paraId="0C9216C2">
        <w:tblPrEx>
          <w:tblBorders>
            <w:top w:val="double" w:color="4472C4" w:themeColor="accent5" w:sz="4" w:space="0"/>
            <w:left w:val="double" w:color="4472C4" w:themeColor="accent5" w:sz="4" w:space="0"/>
            <w:bottom w:val="double" w:color="4472C4" w:themeColor="accent5" w:sz="4" w:space="0"/>
            <w:right w:val="double" w:color="4472C4" w:themeColor="accent5" w:sz="4" w:space="0"/>
            <w:insideH w:val="single" w:color="4472C4" w:themeColor="accent5" w:sz="4" w:space="0"/>
            <w:insideV w:val="single" w:color="4472C4" w:themeColor="accent5" w:sz="4" w:space="0"/>
          </w:tblBorders>
          <w:tblCellMar>
            <w:top w:w="0" w:type="dxa"/>
            <w:left w:w="108" w:type="dxa"/>
            <w:bottom w:w="0" w:type="dxa"/>
            <w:right w:w="108" w:type="dxa"/>
          </w:tblCellMar>
        </w:tblPrEx>
        <w:trPr>
          <w:trHeight w:val="567" w:hRule="atLeast"/>
          <w:jc w:val="center"/>
        </w:trPr>
        <w:tc>
          <w:tcPr>
            <w:tcW w:w="1276" w:type="dxa"/>
            <w:tcBorders>
              <w:tl2br w:val="nil"/>
              <w:tr2bl w:val="nil"/>
            </w:tcBorders>
            <w:shd w:val="clear" w:color="auto" w:fill="C8E6FF"/>
            <w:vAlign w:val="center"/>
          </w:tcPr>
          <w:p w14:paraId="4C3892F0">
            <w:pPr>
              <w:keepNext w:val="0"/>
              <w:keepLines w:val="0"/>
              <w:suppressLineNumbers w:val="0"/>
              <w:spacing w:before="0" w:beforeAutospacing="0" w:after="0" w:afterAutospacing="0"/>
              <w:ind w:left="0" w:right="0"/>
              <w:jc w:val="center"/>
              <w:rPr>
                <w:rFonts w:hint="default" w:ascii="微软雅黑" w:hAnsi="微软雅黑" w:eastAsia="微软雅黑"/>
                <w:b/>
                <w:sz w:val="24"/>
                <w:szCs w:val="24"/>
              </w:rPr>
            </w:pPr>
            <w:r>
              <w:rPr>
                <w:rFonts w:hint="eastAsia" w:ascii="微软雅黑" w:hAnsi="微软雅黑" w:eastAsia="微软雅黑"/>
                <w:b/>
                <w:sz w:val="24"/>
                <w:szCs w:val="24"/>
              </w:rPr>
              <w:t>教学反思</w:t>
            </w:r>
          </w:p>
        </w:tc>
        <w:tc>
          <w:tcPr>
            <w:tcW w:w="7173" w:type="dxa"/>
            <w:gridSpan w:val="2"/>
            <w:tcBorders>
              <w:tl2br w:val="nil"/>
              <w:tr2bl w:val="nil"/>
            </w:tcBorders>
            <w:vAlign w:val="center"/>
          </w:tcPr>
          <w:p w14:paraId="60392D2D">
            <w:pPr>
              <w:keepNext w:val="0"/>
              <w:keepLines w:val="0"/>
              <w:suppressLineNumbers w:val="0"/>
              <w:spacing w:before="0" w:beforeAutospacing="0" w:after="0" w:afterAutospacing="0" w:line="360" w:lineRule="auto"/>
              <w:ind w:left="0" w:right="0"/>
              <w:rPr>
                <w:rFonts w:hint="default" w:ascii="Times New Roman" w:hAnsi="Times New Roman"/>
              </w:rPr>
            </w:pPr>
            <w:r>
              <w:rPr>
                <w:rFonts w:hint="default" w:ascii="Times New Roman" w:hAnsi="Times New Roman"/>
              </w:rPr>
              <w:t>教师应将多媒体与传统教学手段有机结合，使多媒体真正服务于教学，以提高课堂教学效率。</w:t>
            </w:r>
          </w:p>
        </w:tc>
      </w:tr>
    </w:tbl>
    <w:p w14:paraId="0F413274"/>
    <w:sectPr>
      <w:pgSz w:w="11906" w:h="16838"/>
      <w:pgMar w:top="567" w:right="170" w:bottom="850" w:left="170" w:header="567" w:footer="85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F975CD82-C163-4400-99A1-AC4FB1522398}"/>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embedRegular r:id="rId2" w:fontKey="{B2B0981B-2542-4705-BF64-1203B4633A96}"/>
  </w:font>
  <w:font w:name="方正宋黑_GBK">
    <w:panose1 w:val="03000509000000000000"/>
    <w:charset w:val="86"/>
    <w:family w:val="script"/>
    <w:pitch w:val="default"/>
    <w:sig w:usb0="00000001" w:usb1="080E0000" w:usb2="00000000" w:usb3="00000000" w:csb0="00040000" w:csb1="00000000"/>
  </w:font>
  <w:font w:name="Calibri Light">
    <w:panose1 w:val="020F0302020204030204"/>
    <w:charset w:val="00"/>
    <w:family w:val="swiss"/>
    <w:pitch w:val="default"/>
    <w:sig w:usb0="E4002EFF" w:usb1="C200247B"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panose1 w:val="020B0603050302020204"/>
    <w:charset w:val="00"/>
    <w:family w:val="swiss"/>
    <w:pitch w:val="default"/>
    <w:sig w:usb0="00000000" w:usb1="00000000" w:usb2="00000000" w:usb3="00000000" w:csb0="00000000" w:csb1="00000000"/>
  </w:font>
  <w:font w:name="汉仪菱心体简">
    <w:panose1 w:val="02010400000101010101"/>
    <w:charset w:val="86"/>
    <w:family w:val="auto"/>
    <w:pitch w:val="default"/>
    <w:sig w:usb0="00000001" w:usb1="080E0800" w:usb2="00000002" w:usb3="00000000" w:csb0="00040000" w:csb1="00000000"/>
    <w:embedRegular r:id="rId3" w:fontKey="{4A1E00DC-4782-42E0-B1D7-D7E858BAE4A6}"/>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embedRegular r:id="rId4" w:fontKey="{EB8EC769-244B-49E6-9CEE-8F81052C7386}"/>
  </w:font>
  <w:font w:name="楷体_GB2312">
    <w:panose1 w:val="02010609030101010101"/>
    <w:charset w:val="86"/>
    <w:family w:val="auto"/>
    <w:pitch w:val="default"/>
    <w:sig w:usb0="00000001" w:usb1="080E0000" w:usb2="00000000" w:usb3="00000000" w:csb0="00040000" w:csb1="00000000"/>
  </w:font>
  <w:font w:name="方正书宋简体">
    <w:panose1 w:val="03000509000000000000"/>
    <w:charset w:val="86"/>
    <w:family w:val="auto"/>
    <w:pitch w:val="default"/>
    <w:sig w:usb0="00000001" w:usb1="080E0000" w:usb2="00000000" w:usb3="00000000" w:csb0="00040000" w:csb1="00000000"/>
    <w:embedRegular r:id="rId5" w:fontKey="{B8853C4B-F9AA-42B5-A298-034623AEE643}"/>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C28E3C">
    <w:pPr>
      <w:pStyle w:val="9"/>
      <w:pBdr>
        <w:bottom w:val="none" w:color="auto" w:sz="0" w:space="1"/>
      </w:pBdr>
      <w:rPr>
        <w:rFonts w:hint="eastAsia" w:eastAsia="宋体"/>
        <w:lang w:eastAsia="zh-CN"/>
      </w:rPr>
    </w:pPr>
    <w:r>
      <mc:AlternateContent>
        <mc:Choice Requires="wps">
          <w:drawing>
            <wp:anchor distT="0" distB="0" distL="114300" distR="114300" simplePos="0" relativeHeight="251663360" behindDoc="0" locked="0" layoutInCell="1" allowOverlap="1">
              <wp:simplePos x="0" y="0"/>
              <wp:positionH relativeFrom="column">
                <wp:posOffset>162560</wp:posOffset>
              </wp:positionH>
              <wp:positionV relativeFrom="paragraph">
                <wp:posOffset>-2540</wp:posOffset>
              </wp:positionV>
              <wp:extent cx="7019925" cy="9953625"/>
              <wp:effectExtent l="6350" t="6350" r="222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3360;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w:rPr>
        <w:sz w:val="18"/>
      </w:rPr>
      <mc:AlternateContent>
        <mc:Choice Requires="wps">
          <w:drawing>
            <wp:anchor distT="0" distB="0" distL="114300" distR="114300" simplePos="0" relativeHeight="251660288" behindDoc="0" locked="0" layoutInCell="1" allowOverlap="1">
              <wp:simplePos x="0" y="0"/>
              <wp:positionH relativeFrom="column">
                <wp:posOffset>249555</wp:posOffset>
              </wp:positionH>
              <wp:positionV relativeFrom="paragraph">
                <wp:posOffset>5715</wp:posOffset>
              </wp:positionV>
              <wp:extent cx="6840220" cy="9972040"/>
              <wp:effectExtent l="6350" t="6350" r="11430" b="2286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60288;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drawing>
        <wp:anchor distT="0" distB="0" distL="114300" distR="114300" simplePos="0" relativeHeight="251662336" behindDoc="0" locked="0" layoutInCell="1" allowOverlap="1">
          <wp:simplePos x="0" y="0"/>
          <wp:positionH relativeFrom="column">
            <wp:posOffset>-189230</wp:posOffset>
          </wp:positionH>
          <wp:positionV relativeFrom="paragraph">
            <wp:posOffset>-476250</wp:posOffset>
          </wp:positionV>
          <wp:extent cx="7640955" cy="10807700"/>
          <wp:effectExtent l="0" t="0" r="171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w:rPr>
        <w:rFonts w:hint="eastAsia" w:eastAsia="宋体"/>
        <w:lang w:eastAsia="zh-CN"/>
      </w:rPr>
      <w:drawing>
        <wp:anchor distT="0" distB="0" distL="114300" distR="114300" simplePos="0" relativeHeight="251659264" behindDoc="1" locked="0" layoutInCell="1" allowOverlap="1">
          <wp:simplePos x="0" y="0"/>
          <wp:positionH relativeFrom="column">
            <wp:posOffset>-113030</wp:posOffset>
          </wp:positionH>
          <wp:positionV relativeFrom="paragraph">
            <wp:posOffset>-350520</wp:posOffset>
          </wp:positionV>
          <wp:extent cx="7559040" cy="10692130"/>
          <wp:effectExtent l="0" t="0" r="3810" b="139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76D56191">
    <w:pPr>
      <w:pStyle w:val="9"/>
      <w:pBdr>
        <w:bottom w:val="none" w:color="auto" w:sz="0" w:space="1"/>
      </w:pBdr>
      <w:rPr>
        <w:rFonts w:hint="eastAsia" w:eastAsia="宋体"/>
        <w:lang w:eastAsia="zh-CN"/>
      </w:rPr>
    </w:pPr>
    <w:r>
      <w:rPr>
        <w:rFonts w:hint="eastAsia" w:eastAsia="宋体"/>
        <w:lang w:eastAsia="zh-CN"/>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1DB6F23">
    <w:pPr>
      <w:pStyle w:val="9"/>
      <w:pBdr>
        <w:bottom w:val="none" w:color="auto" w:sz="0" w:space="1"/>
      </w:pBdr>
      <w:rPr>
        <w:rFonts w:hint="eastAsia" w:eastAsia="宋体"/>
        <w:lang w:eastAsia="zh-CN"/>
      </w:rPr>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-224790</wp:posOffset>
          </wp:positionH>
          <wp:positionV relativeFrom="page">
            <wp:posOffset>0</wp:posOffset>
          </wp:positionV>
          <wp:extent cx="7676515" cy="7571105"/>
          <wp:effectExtent l="0" t="0" r="63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2UwZDJhYjUyNWMyYTM4YmY1YzczYWE4MTIwOWE1NDYifQ=="/>
  </w:docVars>
  <w:rsids>
    <w:rsidRoot w:val="00B604E2"/>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27B08F2"/>
    <w:rsid w:val="0AC91BFE"/>
    <w:rsid w:val="0E3C75E8"/>
    <w:rsid w:val="10CF32FA"/>
    <w:rsid w:val="1FB84519"/>
    <w:rsid w:val="2003061B"/>
    <w:rsid w:val="20F13C9B"/>
    <w:rsid w:val="238347DF"/>
    <w:rsid w:val="24B477DD"/>
    <w:rsid w:val="278141AB"/>
    <w:rsid w:val="28B578A7"/>
    <w:rsid w:val="2C710C40"/>
    <w:rsid w:val="322A12C5"/>
    <w:rsid w:val="34AD60CD"/>
    <w:rsid w:val="34B67F89"/>
    <w:rsid w:val="368D542E"/>
    <w:rsid w:val="388B134B"/>
    <w:rsid w:val="3AB3405B"/>
    <w:rsid w:val="3AE66A84"/>
    <w:rsid w:val="3C237941"/>
    <w:rsid w:val="436C72A2"/>
    <w:rsid w:val="43CD7F64"/>
    <w:rsid w:val="44B33A23"/>
    <w:rsid w:val="45C91BBA"/>
    <w:rsid w:val="49F8701E"/>
    <w:rsid w:val="4C7F0E23"/>
    <w:rsid w:val="537C59B1"/>
    <w:rsid w:val="582E68E8"/>
    <w:rsid w:val="5A7C6694"/>
    <w:rsid w:val="5AF50835"/>
    <w:rsid w:val="5FFC3909"/>
    <w:rsid w:val="600E33E1"/>
    <w:rsid w:val="622A303A"/>
    <w:rsid w:val="65274800"/>
    <w:rsid w:val="6D751B92"/>
    <w:rsid w:val="6F8275FE"/>
    <w:rsid w:val="723010AC"/>
    <w:rsid w:val="76411C10"/>
    <w:rsid w:val="7B5B603A"/>
    <w:rsid w:val="7B762E74"/>
    <w:rsid w:val="7E1F5A4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qFormat/>
    <w:uiPriority w:val="9"/>
    <w:pPr>
      <w:keepNext/>
      <w:keepLines/>
      <w:spacing w:before="340" w:beforeLines="0" w:beforeAutospacing="0" w:after="330" w:afterLines="0" w:afterAutospacing="0" w:line="576" w:lineRule="auto"/>
      <w:outlineLvl w:val="0"/>
    </w:pPr>
    <w:rPr>
      <w:b/>
      <w:kern w:val="44"/>
      <w:sz w:val="44"/>
    </w:rPr>
  </w:style>
  <w:style w:type="paragraph" w:styleId="3">
    <w:name w:val="heading 3"/>
    <w:basedOn w:val="1"/>
    <w:next w:val="1"/>
    <w:link w:val="30"/>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3"/>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5"/>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6"/>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8"/>
    <w:unhideWhenUsed/>
    <w:qFormat/>
    <w:uiPriority w:val="0"/>
    <w:rPr>
      <w:rFonts w:eastAsia="黑体" w:asciiTheme="majorHAnsi" w:hAnsiTheme="majorHAnsi" w:cstheme="majorBidi"/>
      <w:sz w:val="20"/>
      <w:szCs w:val="20"/>
    </w:rPr>
  </w:style>
  <w:style w:type="paragraph" w:styleId="8">
    <w:name w:val="footer"/>
    <w:basedOn w:val="1"/>
    <w:link w:val="19"/>
    <w:unhideWhenUsed/>
    <w:qFormat/>
    <w:uiPriority w:val="99"/>
    <w:pPr>
      <w:tabs>
        <w:tab w:val="center" w:pos="4153"/>
        <w:tab w:val="right" w:pos="8306"/>
      </w:tabs>
      <w:snapToGrid w:val="0"/>
      <w:jc w:val="left"/>
    </w:pPr>
    <w:rPr>
      <w:sz w:val="18"/>
      <w:szCs w:val="18"/>
    </w:rPr>
  </w:style>
  <w:style w:type="paragraph" w:styleId="9">
    <w:name w:val="header"/>
    <w:basedOn w:val="1"/>
    <w:link w:val="18"/>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4">
    <w:name w:val="Heading #3|1"/>
    <w:basedOn w:val="1"/>
    <w:link w:val="15"/>
    <w:qFormat/>
    <w:uiPriority w:val="0"/>
    <w:pPr>
      <w:spacing w:after="160"/>
      <w:outlineLvl w:val="2"/>
    </w:pPr>
    <w:rPr>
      <w:rFonts w:ascii="宋体" w:hAnsi="宋体" w:cs="宋体"/>
      <w:color w:val="EC008D"/>
      <w:sz w:val="20"/>
      <w:szCs w:val="20"/>
      <w:lang w:val="zh-TW" w:eastAsia="zh-TW" w:bidi="zh-TW"/>
    </w:rPr>
  </w:style>
  <w:style w:type="character" w:customStyle="1" w:styleId="15">
    <w:name w:val="Heading #3|1 Char"/>
    <w:link w:val="14"/>
    <w:qFormat/>
    <w:uiPriority w:val="0"/>
    <w:rPr>
      <w:rFonts w:ascii="宋体" w:hAnsi="宋体" w:eastAsia="宋体" w:cs="宋体"/>
      <w:color w:val="EC008D"/>
      <w:sz w:val="20"/>
      <w:szCs w:val="20"/>
      <w:lang w:val="zh-TW" w:eastAsia="zh-TW" w:bidi="zh-TW"/>
    </w:rPr>
  </w:style>
  <w:style w:type="paragraph" w:customStyle="1" w:styleId="16">
    <w:name w:val="Body text|1"/>
    <w:basedOn w:val="1"/>
    <w:link w:val="17"/>
    <w:unhideWhenUsed/>
    <w:qFormat/>
    <w:uiPriority w:val="0"/>
    <w:pPr>
      <w:spacing w:line="360" w:lineRule="auto"/>
      <w:ind w:firstLine="400"/>
    </w:pPr>
    <w:rPr>
      <w:rFonts w:ascii="宋体" w:hAnsi="宋体" w:cs="宋体"/>
      <w:sz w:val="20"/>
      <w:szCs w:val="20"/>
      <w:lang w:val="zh-TW" w:eastAsia="zh-TW" w:bidi="zh-TW"/>
    </w:rPr>
  </w:style>
  <w:style w:type="character" w:customStyle="1" w:styleId="17">
    <w:name w:val="Body text|1 Char"/>
    <w:link w:val="16"/>
    <w:qFormat/>
    <w:uiPriority w:val="0"/>
    <w:rPr>
      <w:rFonts w:ascii="宋体" w:hAnsi="宋体" w:eastAsia="宋体" w:cs="宋体"/>
      <w:sz w:val="20"/>
      <w:szCs w:val="20"/>
      <w:lang w:val="zh-TW" w:eastAsia="zh-TW" w:bidi="zh-TW"/>
    </w:rPr>
  </w:style>
  <w:style w:type="character" w:customStyle="1" w:styleId="18">
    <w:name w:val="页眉 Char"/>
    <w:basedOn w:val="12"/>
    <w:link w:val="9"/>
    <w:qFormat/>
    <w:uiPriority w:val="99"/>
    <w:rPr>
      <w:rFonts w:ascii="Calibri" w:hAnsi="Calibri" w:eastAsia="宋体" w:cs="Times New Roman"/>
      <w:sz w:val="18"/>
      <w:szCs w:val="18"/>
    </w:rPr>
  </w:style>
  <w:style w:type="character" w:customStyle="1" w:styleId="19">
    <w:name w:val="页脚 Char"/>
    <w:basedOn w:val="12"/>
    <w:link w:val="8"/>
    <w:qFormat/>
    <w:uiPriority w:val="99"/>
    <w:rPr>
      <w:rFonts w:ascii="Calibri" w:hAnsi="Calibri" w:eastAsia="宋体" w:cs="Times New Roman"/>
      <w:sz w:val="18"/>
      <w:szCs w:val="18"/>
    </w:rPr>
  </w:style>
  <w:style w:type="paragraph" w:styleId="20">
    <w:name w:val="List Paragraph"/>
    <w:basedOn w:val="1"/>
    <w:qFormat/>
    <w:uiPriority w:val="34"/>
    <w:pPr>
      <w:ind w:firstLine="420" w:firstLineChars="200"/>
    </w:pPr>
  </w:style>
  <w:style w:type="paragraph" w:customStyle="1" w:styleId="21">
    <w:name w:val="知识拓展内容"/>
    <w:basedOn w:val="1"/>
    <w:link w:val="22"/>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2">
    <w:name w:val="知识拓展内容 Char"/>
    <w:link w:val="21"/>
    <w:qFormat/>
    <w:uiPriority w:val="0"/>
    <w:rPr>
      <w:rFonts w:ascii="Times New Roman" w:hAnsi="Times New Roman" w:eastAsia="仿宋_GB2312" w:cs="Times New Roman"/>
      <w:kern w:val="10"/>
      <w:szCs w:val="21"/>
      <w:shd w:val="clear" w:color="auto" w:fill="FADCE9"/>
      <w:lang w:val="zh-CN" w:eastAsia="zh-CN"/>
    </w:rPr>
  </w:style>
  <w:style w:type="character" w:customStyle="1" w:styleId="23">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4">
    <w:name w:val="字符样式 拼音字体"/>
    <w:qFormat/>
    <w:uiPriority w:val="0"/>
    <w:rPr>
      <w:rFonts w:ascii="PinYinok" w:hAnsi="PinYinok"/>
      <w:sz w:val="24"/>
      <w:szCs w:val="24"/>
    </w:rPr>
  </w:style>
  <w:style w:type="character" w:customStyle="1" w:styleId="25">
    <w:name w:val="标题 5 Char"/>
    <w:basedOn w:val="12"/>
    <w:link w:val="5"/>
    <w:semiHidden/>
    <w:qFormat/>
    <w:uiPriority w:val="9"/>
    <w:rPr>
      <w:rFonts w:ascii="Calibri" w:hAnsi="Calibri" w:eastAsia="宋体" w:cs="Times New Roman"/>
      <w:b/>
      <w:bCs/>
      <w:sz w:val="28"/>
      <w:szCs w:val="28"/>
    </w:rPr>
  </w:style>
  <w:style w:type="character" w:customStyle="1" w:styleId="26">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7">
    <w:name w:val="图片"/>
    <w:basedOn w:val="1"/>
    <w:next w:val="7"/>
    <w:link w:val="29"/>
    <w:qFormat/>
    <w:uiPriority w:val="0"/>
    <w:pPr>
      <w:spacing w:before="120"/>
      <w:jc w:val="center"/>
    </w:pPr>
    <w:rPr>
      <w:rFonts w:ascii="Times New Roman" w:hAnsi="Times New Roman"/>
      <w:szCs w:val="20"/>
    </w:rPr>
  </w:style>
  <w:style w:type="character" w:customStyle="1" w:styleId="28">
    <w:name w:val="题注 Char"/>
    <w:link w:val="7"/>
    <w:qFormat/>
    <w:locked/>
    <w:uiPriority w:val="0"/>
    <w:rPr>
      <w:rFonts w:eastAsia="黑体" w:asciiTheme="majorHAnsi" w:hAnsiTheme="majorHAnsi" w:cstheme="majorBidi"/>
      <w:sz w:val="20"/>
      <w:szCs w:val="20"/>
    </w:rPr>
  </w:style>
  <w:style w:type="character" w:customStyle="1" w:styleId="29">
    <w:name w:val="图片 Char"/>
    <w:link w:val="27"/>
    <w:qFormat/>
    <w:locked/>
    <w:uiPriority w:val="0"/>
    <w:rPr>
      <w:rFonts w:ascii="Times New Roman" w:hAnsi="Times New Roman" w:eastAsia="宋体" w:cs="Times New Roman"/>
      <w:szCs w:val="20"/>
    </w:rPr>
  </w:style>
  <w:style w:type="character" w:customStyle="1" w:styleId="30">
    <w:name w:val="标题 3 Char"/>
    <w:basedOn w:val="12"/>
    <w:link w:val="3"/>
    <w:semiHidden/>
    <w:qFormat/>
    <w:uiPriority w:val="9"/>
    <w:rPr>
      <w:rFonts w:ascii="Calibri" w:hAnsi="Calibri" w:eastAsia="宋体" w:cs="Times New Roman"/>
      <w:b/>
      <w:bCs/>
      <w:sz w:val="32"/>
      <w:szCs w:val="32"/>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4.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28</Pages>
  <Words>10970</Words>
  <Characters>11125</Characters>
  <Lines>1</Lines>
  <Paragraphs>1</Paragraphs>
  <TotalTime>1</TotalTime>
  <ScaleCrop>false</ScaleCrop>
  <LinksUpToDate>false</LinksUpToDate>
  <CharactersWithSpaces>11193</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2021-06-08T10:03:00Z</dcterms:created>
  <dc:creator>DELL</dc:creator>
  <cp:lastModifiedBy>六月</cp:lastModifiedBy>
  <dcterms:modified xsi:type="dcterms:W3CDTF">2025-07-24T03:39:32Z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2052-12.1.0.21915</vt:lpwstr>
  </property>
  <property fmtid="{D5CDD505-2E9C-101B-9397-08002B2CF9AE}" pid="3" name="ICV">
    <vt:lpwstr>8C37BF23380F498AB59F5BF9CE9303D1_13</vt:lpwstr>
  </property>
  <property fmtid="{D5CDD505-2E9C-101B-9397-08002B2CF9AE}" pid="4" name="KSOTemplateDocerSaveRecord">
    <vt:lpwstr>eyJoZGlkIjoiOTcxZjc4Y2ViNTBlZDVmZTI3YTAxZGE1NWVmM2E2NDEiLCJ1c2VySWQiOiI0MDMzMDA2MzYifQ==</vt:lpwstr>
  </property>
</Properties>
</file>